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58" w:rsidRPr="001D6307" w:rsidRDefault="00247F58" w:rsidP="001D6307">
      <w:pPr>
        <w:pBdr>
          <w:bottom w:val="single" w:sz="4" w:space="1" w:color="auto"/>
        </w:pBdr>
        <w:tabs>
          <w:tab w:val="center" w:pos="6480"/>
          <w:tab w:val="right" w:pos="12780"/>
        </w:tabs>
        <w:rPr>
          <w:b/>
          <w:color w:val="000000"/>
        </w:rPr>
      </w:pPr>
      <w:r w:rsidRPr="001D6307">
        <w:rPr>
          <w:b/>
          <w:color w:val="000000"/>
        </w:rPr>
        <w:t xml:space="preserve">College of Education: </w:t>
      </w:r>
      <w:r w:rsidR="007E10C2">
        <w:rPr>
          <w:b/>
          <w:color w:val="000000"/>
        </w:rPr>
        <w:t>Educational Leadership</w:t>
      </w:r>
      <w:r w:rsidRPr="001D6307">
        <w:rPr>
          <w:b/>
          <w:color w:val="000000"/>
        </w:rPr>
        <w:tab/>
      </w:r>
      <w:r w:rsidR="001D6307" w:rsidRPr="001D6307">
        <w:rPr>
          <w:b/>
          <w:color w:val="000000"/>
        </w:rPr>
        <w:t>Data for 201</w:t>
      </w:r>
      <w:r w:rsidR="007E10C2">
        <w:rPr>
          <w:b/>
          <w:color w:val="000000"/>
        </w:rPr>
        <w:t>2</w:t>
      </w:r>
      <w:r w:rsidR="001D6307" w:rsidRPr="001D6307">
        <w:rPr>
          <w:b/>
          <w:color w:val="000000"/>
        </w:rPr>
        <w:t>-201</w:t>
      </w:r>
      <w:r w:rsidR="007E10C2">
        <w:rPr>
          <w:b/>
          <w:color w:val="000000"/>
        </w:rPr>
        <w:t>3</w:t>
      </w:r>
      <w:r w:rsidR="001D6307" w:rsidRPr="001D6307">
        <w:rPr>
          <w:b/>
          <w:color w:val="000000"/>
        </w:rPr>
        <w:tab/>
      </w:r>
      <w:r w:rsidRPr="001D6307">
        <w:rPr>
          <w:b/>
          <w:color w:val="000000"/>
        </w:rPr>
        <w:t>Semester Submitted: Fall 201</w:t>
      </w:r>
      <w:r w:rsidR="007E10C2">
        <w:rPr>
          <w:b/>
          <w:color w:val="000000"/>
        </w:rPr>
        <w:t>3</w:t>
      </w:r>
    </w:p>
    <w:p w:rsidR="00247F58" w:rsidRDefault="00247F58" w:rsidP="00497347">
      <w:pPr>
        <w:rPr>
          <w:rFonts w:ascii="Calibri" w:hAnsi="Calibri"/>
          <w:color w:val="000000"/>
          <w:sz w:val="22"/>
          <w:szCs w:val="22"/>
        </w:rPr>
      </w:pPr>
    </w:p>
    <w:tbl>
      <w:tblPr>
        <w:tblW w:w="13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3175"/>
        <w:gridCol w:w="3640"/>
        <w:gridCol w:w="3500"/>
      </w:tblGrid>
      <w:tr w:rsidR="00247F58" w:rsidRPr="00497347" w:rsidTr="00AA1604">
        <w:trPr>
          <w:trHeight w:val="300"/>
        </w:trPr>
        <w:tc>
          <w:tcPr>
            <w:tcW w:w="13660" w:type="dxa"/>
            <w:gridSpan w:val="4"/>
            <w:shd w:val="clear" w:color="auto" w:fill="auto"/>
            <w:noWrap/>
            <w:vAlign w:val="bottom"/>
            <w:hideMark/>
          </w:tcPr>
          <w:p w:rsidR="00247F58" w:rsidRPr="00497347" w:rsidRDefault="00247F58" w:rsidP="00AA1604">
            <w:pPr>
              <w:rPr>
                <w:rFonts w:ascii="Calibri" w:hAnsi="Calibri"/>
                <w:b/>
                <w:bCs/>
                <w:color w:val="000000"/>
                <w:sz w:val="22"/>
                <w:szCs w:val="22"/>
              </w:rPr>
            </w:pPr>
            <w:bookmarkStart w:id="0" w:name="RANGE!A1:D17"/>
            <w:r w:rsidRPr="00497347">
              <w:rPr>
                <w:rFonts w:ascii="Calibri" w:hAnsi="Calibri"/>
                <w:b/>
                <w:bCs/>
                <w:color w:val="000000"/>
                <w:sz w:val="22"/>
                <w:szCs w:val="22"/>
              </w:rPr>
              <w:t>Student Learning Outcome Report</w:t>
            </w:r>
            <w:bookmarkEnd w:id="0"/>
          </w:p>
        </w:tc>
      </w:tr>
      <w:tr w:rsidR="00247F58" w:rsidRPr="00497347" w:rsidTr="00AA1604">
        <w:trPr>
          <w:trHeight w:val="300"/>
        </w:trPr>
        <w:tc>
          <w:tcPr>
            <w:tcW w:w="6520" w:type="dxa"/>
            <w:gridSpan w:val="2"/>
            <w:shd w:val="clear" w:color="auto" w:fill="auto"/>
            <w:vAlign w:val="bottom"/>
            <w:hideMark/>
          </w:tcPr>
          <w:p w:rsidR="00247F58" w:rsidRPr="00497347" w:rsidRDefault="00247F58" w:rsidP="00AA1604">
            <w:pPr>
              <w:rPr>
                <w:rFonts w:ascii="Calibri" w:hAnsi="Calibri"/>
                <w:b/>
                <w:bCs/>
                <w:color w:val="000000"/>
                <w:sz w:val="22"/>
                <w:szCs w:val="22"/>
              </w:rPr>
            </w:pPr>
            <w:r w:rsidRPr="00497347">
              <w:rPr>
                <w:rFonts w:ascii="Calibri" w:hAnsi="Calibri"/>
                <w:b/>
                <w:bCs/>
                <w:color w:val="000000"/>
                <w:sz w:val="22"/>
                <w:szCs w:val="22"/>
              </w:rPr>
              <w:t xml:space="preserve">Department: </w:t>
            </w:r>
            <w:r>
              <w:rPr>
                <w:rFonts w:ascii="Calibri" w:hAnsi="Calibri"/>
                <w:b/>
                <w:bCs/>
                <w:color w:val="000000"/>
                <w:sz w:val="22"/>
                <w:szCs w:val="22"/>
              </w:rPr>
              <w:t>College</w:t>
            </w:r>
            <w:r w:rsidRPr="00497347">
              <w:rPr>
                <w:rFonts w:ascii="Calibri" w:hAnsi="Calibri"/>
                <w:b/>
                <w:bCs/>
                <w:color w:val="000000"/>
                <w:sz w:val="22"/>
                <w:szCs w:val="22"/>
              </w:rPr>
              <w:t xml:space="preserve"> of Education</w:t>
            </w:r>
          </w:p>
        </w:tc>
        <w:tc>
          <w:tcPr>
            <w:tcW w:w="7140" w:type="dxa"/>
            <w:gridSpan w:val="2"/>
            <w:shd w:val="clear" w:color="auto" w:fill="auto"/>
            <w:vAlign w:val="bottom"/>
            <w:hideMark/>
          </w:tcPr>
          <w:p w:rsidR="00247F58" w:rsidRPr="00497347" w:rsidRDefault="00247F58" w:rsidP="007E10C2">
            <w:pPr>
              <w:rPr>
                <w:rFonts w:ascii="Calibri" w:hAnsi="Calibri"/>
                <w:b/>
                <w:bCs/>
                <w:color w:val="000000"/>
                <w:sz w:val="22"/>
                <w:szCs w:val="22"/>
              </w:rPr>
            </w:pPr>
            <w:r w:rsidRPr="00497347">
              <w:rPr>
                <w:rFonts w:ascii="Calibri" w:hAnsi="Calibri"/>
                <w:b/>
                <w:bCs/>
                <w:color w:val="000000"/>
                <w:sz w:val="22"/>
                <w:szCs w:val="22"/>
              </w:rPr>
              <w:t xml:space="preserve">Program: </w:t>
            </w:r>
            <w:r w:rsidR="007E10C2">
              <w:rPr>
                <w:rFonts w:ascii="Calibri" w:hAnsi="Calibri"/>
                <w:b/>
                <w:bCs/>
                <w:color w:val="000000"/>
                <w:sz w:val="22"/>
                <w:szCs w:val="22"/>
              </w:rPr>
              <w:t>Educational Leadership</w:t>
            </w:r>
          </w:p>
        </w:tc>
      </w:tr>
      <w:tr w:rsidR="00247F58" w:rsidRPr="00497347" w:rsidTr="00AA1604">
        <w:trPr>
          <w:trHeight w:val="900"/>
        </w:trPr>
        <w:tc>
          <w:tcPr>
            <w:tcW w:w="3345" w:type="dxa"/>
            <w:shd w:val="clear" w:color="auto" w:fill="auto"/>
            <w:vAlign w:val="bottom"/>
            <w:hideMark/>
          </w:tcPr>
          <w:p w:rsidR="00247F58" w:rsidRPr="00497347" w:rsidRDefault="00247F58" w:rsidP="00AA1604">
            <w:pPr>
              <w:rPr>
                <w:rFonts w:ascii="Calibri" w:hAnsi="Calibri"/>
                <w:b/>
                <w:bCs/>
                <w:color w:val="000000"/>
                <w:sz w:val="22"/>
                <w:szCs w:val="22"/>
              </w:rPr>
            </w:pPr>
            <w:r w:rsidRPr="00497347">
              <w:rPr>
                <w:rFonts w:ascii="Calibri" w:hAnsi="Calibri"/>
                <w:b/>
                <w:bCs/>
                <w:color w:val="000000"/>
                <w:sz w:val="22"/>
                <w:szCs w:val="22"/>
              </w:rPr>
              <w:t>SLO  Certificate, Associate, Bachelor, Minor, or Master Degree Program*</w:t>
            </w:r>
            <w:r>
              <w:rPr>
                <w:rFonts w:ascii="Calibri" w:hAnsi="Calibri"/>
                <w:b/>
                <w:bCs/>
                <w:color w:val="000000"/>
                <w:sz w:val="22"/>
                <w:szCs w:val="22"/>
              </w:rPr>
              <w:t xml:space="preserve"> Competencies</w:t>
            </w:r>
          </w:p>
        </w:tc>
        <w:tc>
          <w:tcPr>
            <w:tcW w:w="3175" w:type="dxa"/>
            <w:shd w:val="clear" w:color="auto" w:fill="auto"/>
            <w:vAlign w:val="bottom"/>
            <w:hideMark/>
          </w:tcPr>
          <w:p w:rsidR="00247F58" w:rsidRPr="00497347" w:rsidRDefault="00247F58" w:rsidP="00AA1604">
            <w:pPr>
              <w:rPr>
                <w:rFonts w:ascii="Calibri" w:hAnsi="Calibri"/>
                <w:color w:val="000000"/>
                <w:sz w:val="22"/>
                <w:szCs w:val="22"/>
              </w:rPr>
            </w:pPr>
            <w:r w:rsidRPr="00497347">
              <w:rPr>
                <w:rFonts w:ascii="Calibri" w:hAnsi="Calibri"/>
                <w:b/>
                <w:bCs/>
                <w:color w:val="000000"/>
                <w:sz w:val="22"/>
                <w:szCs w:val="22"/>
              </w:rPr>
              <w:t>Process</w:t>
            </w:r>
            <w:r>
              <w:rPr>
                <w:rFonts w:ascii="Calibri" w:hAnsi="Calibri"/>
                <w:color w:val="000000"/>
                <w:sz w:val="22"/>
                <w:szCs w:val="22"/>
              </w:rPr>
              <w:t xml:space="preserve">                    </w:t>
            </w:r>
            <w:r w:rsidRPr="00497347">
              <w:rPr>
                <w:rFonts w:ascii="Calibri" w:hAnsi="Calibri"/>
                <w:color w:val="000000"/>
                <w:sz w:val="22"/>
                <w:szCs w:val="22"/>
              </w:rPr>
              <w:t>How were the processes established?</w:t>
            </w:r>
            <w:r>
              <w:rPr>
                <w:rFonts w:ascii="Calibri" w:hAnsi="Calibri"/>
                <w:color w:val="000000"/>
                <w:sz w:val="22"/>
                <w:szCs w:val="22"/>
              </w:rPr>
              <w:t xml:space="preserve">          </w:t>
            </w:r>
            <w:r w:rsidRPr="00497347">
              <w:rPr>
                <w:rFonts w:ascii="Calibri" w:hAnsi="Calibri"/>
                <w:color w:val="000000"/>
                <w:sz w:val="22"/>
                <w:szCs w:val="22"/>
              </w:rPr>
              <w:t xml:space="preserve">    </w:t>
            </w:r>
          </w:p>
        </w:tc>
        <w:tc>
          <w:tcPr>
            <w:tcW w:w="3640" w:type="dxa"/>
            <w:shd w:val="clear" w:color="auto" w:fill="auto"/>
            <w:vAlign w:val="bottom"/>
            <w:hideMark/>
          </w:tcPr>
          <w:p w:rsidR="00247F58" w:rsidRPr="00497347" w:rsidRDefault="00247F58" w:rsidP="00AA1604">
            <w:pPr>
              <w:rPr>
                <w:rFonts w:ascii="Calibri" w:hAnsi="Calibri"/>
                <w:color w:val="000000"/>
                <w:sz w:val="22"/>
                <w:szCs w:val="22"/>
              </w:rPr>
            </w:pPr>
            <w:r w:rsidRPr="00497347">
              <w:rPr>
                <w:rFonts w:ascii="Calibri" w:hAnsi="Calibri"/>
                <w:b/>
                <w:bCs/>
                <w:color w:val="000000"/>
                <w:sz w:val="22"/>
                <w:szCs w:val="22"/>
              </w:rPr>
              <w:t>Results</w:t>
            </w:r>
            <w:r>
              <w:rPr>
                <w:rFonts w:ascii="Calibri" w:hAnsi="Calibri"/>
                <w:color w:val="000000"/>
                <w:sz w:val="22"/>
                <w:szCs w:val="22"/>
              </w:rPr>
              <w:t xml:space="preserve">                  </w:t>
            </w:r>
            <w:r w:rsidRPr="00497347">
              <w:rPr>
                <w:rFonts w:ascii="Calibri" w:hAnsi="Calibri"/>
                <w:color w:val="000000"/>
                <w:sz w:val="22"/>
                <w:szCs w:val="22"/>
              </w:rPr>
              <w:t xml:space="preserve">      What measurement tools do you use and what are your results?</w:t>
            </w:r>
          </w:p>
        </w:tc>
        <w:tc>
          <w:tcPr>
            <w:tcW w:w="3500" w:type="dxa"/>
            <w:shd w:val="clear" w:color="auto" w:fill="auto"/>
            <w:vAlign w:val="bottom"/>
            <w:hideMark/>
          </w:tcPr>
          <w:p w:rsidR="00247F58" w:rsidRPr="00497347" w:rsidRDefault="00247F58" w:rsidP="00AA1604">
            <w:pPr>
              <w:rPr>
                <w:rFonts w:ascii="Calibri" w:hAnsi="Calibri"/>
                <w:color w:val="000000"/>
                <w:sz w:val="22"/>
                <w:szCs w:val="22"/>
              </w:rPr>
            </w:pPr>
            <w:r w:rsidRPr="00497347">
              <w:rPr>
                <w:rFonts w:ascii="Calibri" w:hAnsi="Calibri"/>
                <w:b/>
                <w:bCs/>
                <w:color w:val="000000"/>
                <w:sz w:val="22"/>
                <w:szCs w:val="22"/>
              </w:rPr>
              <w:t>Improvement</w:t>
            </w:r>
            <w:r>
              <w:rPr>
                <w:rFonts w:ascii="Calibri" w:hAnsi="Calibri"/>
                <w:color w:val="000000"/>
                <w:sz w:val="22"/>
                <w:szCs w:val="22"/>
              </w:rPr>
              <w:t xml:space="preserve">              </w:t>
            </w:r>
            <w:r w:rsidRPr="00497347">
              <w:rPr>
                <w:rFonts w:ascii="Calibri" w:hAnsi="Calibri"/>
                <w:color w:val="000000"/>
                <w:sz w:val="22"/>
                <w:szCs w:val="22"/>
              </w:rPr>
              <w:t xml:space="preserve">   What recent improvements have you made for this program?</w:t>
            </w:r>
          </w:p>
        </w:tc>
      </w:tr>
      <w:tr w:rsidR="00247F58" w:rsidRPr="00710BB2" w:rsidTr="00AA1604">
        <w:trPr>
          <w:trHeight w:val="570"/>
        </w:trPr>
        <w:tc>
          <w:tcPr>
            <w:tcW w:w="3345" w:type="dxa"/>
            <w:shd w:val="clear" w:color="auto" w:fill="auto"/>
            <w:hideMark/>
          </w:tcPr>
          <w:p w:rsidR="00247F58" w:rsidRPr="00650036" w:rsidRDefault="00247F58" w:rsidP="00ED40FA">
            <w:pPr>
              <w:rPr>
                <w:rFonts w:ascii="Calibri" w:hAnsi="Calibri"/>
                <w:color w:val="000000"/>
                <w:sz w:val="22"/>
                <w:szCs w:val="22"/>
              </w:rPr>
            </w:pPr>
            <w:r w:rsidRPr="00650036">
              <w:rPr>
                <w:rFonts w:ascii="Calibri" w:hAnsi="Calibri"/>
                <w:color w:val="000000"/>
                <w:sz w:val="22"/>
                <w:szCs w:val="22"/>
              </w:rPr>
              <w:t>1</w:t>
            </w:r>
            <w:r w:rsidRPr="006406AC">
              <w:rPr>
                <w:rFonts w:ascii="Calibri" w:hAnsi="Calibri"/>
                <w:color w:val="000000"/>
                <w:sz w:val="22"/>
                <w:szCs w:val="22"/>
              </w:rPr>
              <w:t xml:space="preserve">.  </w:t>
            </w:r>
            <w:r w:rsidR="00ED40FA">
              <w:rPr>
                <w:rFonts w:ascii="Calibri" w:hAnsi="Calibri"/>
                <w:color w:val="000000"/>
                <w:sz w:val="22"/>
                <w:szCs w:val="22"/>
              </w:rPr>
              <w:t>Shared Vision</w:t>
            </w:r>
            <w:r w:rsidR="006406AC">
              <w:rPr>
                <w:color w:val="000000"/>
                <w:sz w:val="27"/>
                <w:szCs w:val="27"/>
              </w:rPr>
              <w:t xml:space="preserve"> </w:t>
            </w:r>
          </w:p>
        </w:tc>
        <w:tc>
          <w:tcPr>
            <w:tcW w:w="3175" w:type="dxa"/>
            <w:vMerge w:val="restart"/>
            <w:shd w:val="clear" w:color="auto" w:fill="auto"/>
            <w:vAlign w:val="center"/>
            <w:hideMark/>
          </w:tcPr>
          <w:p w:rsidR="00247F58" w:rsidRPr="00650036" w:rsidRDefault="00247F58" w:rsidP="00AA1604">
            <w:pPr>
              <w:rPr>
                <w:rFonts w:ascii="Calibri" w:hAnsi="Calibri"/>
                <w:color w:val="000000"/>
                <w:sz w:val="22"/>
                <w:szCs w:val="22"/>
              </w:rPr>
            </w:pPr>
            <w:r w:rsidRPr="00650036">
              <w:rPr>
                <w:rFonts w:ascii="Calibri" w:hAnsi="Calibri"/>
                <w:color w:val="000000"/>
                <w:sz w:val="22"/>
                <w:szCs w:val="22"/>
              </w:rPr>
              <w:t>New Mexico State Statute was implemented collaboratively with faculty and the Dean of the College of Education receiving input from school, agency and community partners.</w:t>
            </w:r>
          </w:p>
          <w:p w:rsidR="00247F58" w:rsidRPr="00650036" w:rsidRDefault="00247F58" w:rsidP="00AA1604">
            <w:pPr>
              <w:rPr>
                <w:rFonts w:ascii="Calibri" w:hAnsi="Calibri"/>
                <w:color w:val="000000"/>
                <w:sz w:val="22"/>
                <w:szCs w:val="22"/>
              </w:rPr>
            </w:pPr>
          </w:p>
        </w:tc>
        <w:tc>
          <w:tcPr>
            <w:tcW w:w="3640" w:type="dxa"/>
            <w:vMerge w:val="restart"/>
            <w:shd w:val="clear" w:color="auto" w:fill="auto"/>
            <w:vAlign w:val="center"/>
            <w:hideMark/>
          </w:tcPr>
          <w:p w:rsidR="00247F58" w:rsidRPr="00650036" w:rsidRDefault="00247F58" w:rsidP="00AA1604">
            <w:pPr>
              <w:rPr>
                <w:rFonts w:ascii="Calibri" w:hAnsi="Calibri"/>
                <w:color w:val="000000"/>
                <w:sz w:val="22"/>
                <w:szCs w:val="22"/>
              </w:rPr>
            </w:pPr>
            <w:r w:rsidRPr="00650036">
              <w:rPr>
                <w:rFonts w:ascii="Calibri" w:hAnsi="Calibri"/>
                <w:color w:val="000000"/>
                <w:sz w:val="22"/>
                <w:szCs w:val="22"/>
              </w:rPr>
              <w:t>Please see response to Results Question #4, in this document.</w:t>
            </w:r>
          </w:p>
        </w:tc>
        <w:tc>
          <w:tcPr>
            <w:tcW w:w="3500" w:type="dxa"/>
            <w:vMerge w:val="restart"/>
            <w:shd w:val="clear" w:color="auto" w:fill="auto"/>
            <w:vAlign w:val="center"/>
            <w:hideMark/>
          </w:tcPr>
          <w:p w:rsidR="00247F58" w:rsidRDefault="007E10C2" w:rsidP="00AA1604">
            <w:pPr>
              <w:rPr>
                <w:rFonts w:ascii="Calibri" w:hAnsi="Calibri"/>
                <w:color w:val="000000"/>
                <w:sz w:val="22"/>
                <w:szCs w:val="22"/>
              </w:rPr>
            </w:pPr>
            <w:r>
              <w:rPr>
                <w:rFonts w:ascii="Calibri" w:hAnsi="Calibri"/>
                <w:color w:val="000000"/>
                <w:sz w:val="22"/>
                <w:szCs w:val="22"/>
              </w:rPr>
              <w:t xml:space="preserve">In a statewide collaborative process, </w:t>
            </w:r>
            <w:r w:rsidR="00ED40FA">
              <w:rPr>
                <w:rFonts w:ascii="Calibri" w:hAnsi="Calibri"/>
                <w:color w:val="000000"/>
                <w:sz w:val="22"/>
                <w:szCs w:val="22"/>
              </w:rPr>
              <w:t>a</w:t>
            </w:r>
            <w:r>
              <w:rPr>
                <w:rFonts w:ascii="Calibri" w:hAnsi="Calibri"/>
                <w:color w:val="000000"/>
                <w:sz w:val="22"/>
                <w:szCs w:val="22"/>
              </w:rPr>
              <w:t xml:space="preserve">ll educational leadership programs were aligned to the </w:t>
            </w:r>
            <w:r w:rsidR="006406AC">
              <w:rPr>
                <w:rFonts w:ascii="Calibri" w:hAnsi="Calibri"/>
                <w:color w:val="000000"/>
                <w:sz w:val="22"/>
                <w:szCs w:val="22"/>
              </w:rPr>
              <w:t>ISLLC (Interstate School Leaders Licensure Consortium) Standards and programs across the state were coordinated</w:t>
            </w:r>
            <w:r w:rsidR="00247F58" w:rsidRPr="00650036">
              <w:rPr>
                <w:rFonts w:ascii="Calibri" w:hAnsi="Calibri"/>
                <w:color w:val="000000"/>
                <w:sz w:val="22"/>
                <w:szCs w:val="22"/>
              </w:rPr>
              <w:t>.</w:t>
            </w:r>
          </w:p>
          <w:p w:rsidR="005B51C3" w:rsidRDefault="005B51C3" w:rsidP="00AA1604">
            <w:pPr>
              <w:rPr>
                <w:rFonts w:ascii="Calibri" w:hAnsi="Calibri"/>
                <w:color w:val="000000"/>
                <w:sz w:val="22"/>
                <w:szCs w:val="22"/>
              </w:rPr>
            </w:pPr>
          </w:p>
          <w:p w:rsidR="005B51C3" w:rsidRDefault="005B51C3" w:rsidP="00AA1604">
            <w:pPr>
              <w:rPr>
                <w:rFonts w:ascii="Calibri" w:hAnsi="Calibri"/>
                <w:color w:val="000000"/>
                <w:sz w:val="22"/>
                <w:szCs w:val="22"/>
              </w:rPr>
            </w:pPr>
            <w:r>
              <w:rPr>
                <w:rFonts w:ascii="Calibri" w:hAnsi="Calibri"/>
                <w:color w:val="000000"/>
                <w:sz w:val="22"/>
                <w:szCs w:val="22"/>
              </w:rPr>
              <w:t>Electives were focused specifically on Educational Leadership Issues</w:t>
            </w:r>
          </w:p>
          <w:p w:rsidR="006406AC" w:rsidRDefault="006406AC" w:rsidP="00AA1604">
            <w:pPr>
              <w:rPr>
                <w:rFonts w:ascii="Calibri" w:hAnsi="Calibri"/>
                <w:color w:val="000000"/>
                <w:sz w:val="22"/>
                <w:szCs w:val="22"/>
              </w:rPr>
            </w:pPr>
          </w:p>
          <w:p w:rsidR="006406AC" w:rsidRPr="00650036" w:rsidRDefault="006406AC" w:rsidP="00AA1604">
            <w:pPr>
              <w:rPr>
                <w:rFonts w:ascii="Calibri" w:hAnsi="Calibri"/>
                <w:color w:val="000000"/>
                <w:sz w:val="22"/>
                <w:szCs w:val="22"/>
              </w:rPr>
            </w:pPr>
            <w:r>
              <w:rPr>
                <w:rFonts w:ascii="Calibri" w:hAnsi="Calibri"/>
                <w:color w:val="000000"/>
                <w:sz w:val="22"/>
                <w:szCs w:val="22"/>
              </w:rPr>
              <w:t>The entire program has been moved online, providing better access to courses for students.</w:t>
            </w:r>
          </w:p>
          <w:p w:rsidR="00247F58" w:rsidRPr="00650036" w:rsidRDefault="00247F58" w:rsidP="00AA1604">
            <w:pPr>
              <w:rPr>
                <w:rFonts w:ascii="Calibri" w:hAnsi="Calibri"/>
                <w:color w:val="000000"/>
                <w:sz w:val="22"/>
                <w:szCs w:val="22"/>
              </w:rPr>
            </w:pPr>
          </w:p>
        </w:tc>
      </w:tr>
      <w:tr w:rsidR="00247F58" w:rsidRPr="00710BB2" w:rsidTr="00AA1604">
        <w:trPr>
          <w:trHeight w:val="570"/>
        </w:trPr>
        <w:tc>
          <w:tcPr>
            <w:tcW w:w="3345" w:type="dxa"/>
            <w:shd w:val="clear" w:color="auto" w:fill="auto"/>
            <w:hideMark/>
          </w:tcPr>
          <w:p w:rsidR="00247F58" w:rsidRPr="00650036" w:rsidRDefault="00247F58" w:rsidP="00ED40FA">
            <w:pPr>
              <w:rPr>
                <w:rFonts w:ascii="Calibri" w:hAnsi="Calibri"/>
                <w:color w:val="000000"/>
                <w:sz w:val="22"/>
                <w:szCs w:val="22"/>
              </w:rPr>
            </w:pPr>
            <w:r w:rsidRPr="00650036">
              <w:rPr>
                <w:rFonts w:ascii="Calibri" w:hAnsi="Calibri"/>
                <w:color w:val="000000"/>
                <w:sz w:val="22"/>
                <w:szCs w:val="22"/>
              </w:rPr>
              <w:t xml:space="preserve">2.  </w:t>
            </w:r>
            <w:r w:rsidR="00ED40FA" w:rsidRPr="00650036">
              <w:rPr>
                <w:rFonts w:ascii="Calibri" w:hAnsi="Calibri"/>
                <w:color w:val="000000"/>
                <w:sz w:val="22"/>
                <w:szCs w:val="22"/>
              </w:rPr>
              <w:t xml:space="preserve">Instructional </w:t>
            </w:r>
            <w:r w:rsidR="00ED40FA">
              <w:rPr>
                <w:rFonts w:ascii="Calibri" w:hAnsi="Calibri"/>
                <w:color w:val="000000"/>
                <w:sz w:val="22"/>
                <w:szCs w:val="22"/>
              </w:rPr>
              <w:t>Leadership</w:t>
            </w:r>
          </w:p>
        </w:tc>
        <w:tc>
          <w:tcPr>
            <w:tcW w:w="3175" w:type="dxa"/>
            <w:vMerge/>
            <w:shd w:val="clear" w:color="auto" w:fill="auto"/>
            <w:vAlign w:val="bottom"/>
            <w:hideMark/>
          </w:tcPr>
          <w:p w:rsidR="00247F58" w:rsidRPr="00710BB2" w:rsidRDefault="00247F58" w:rsidP="00AA1604">
            <w:pPr>
              <w:rPr>
                <w:rFonts w:ascii="Calibri" w:hAnsi="Calibri"/>
                <w:color w:val="000000"/>
                <w:sz w:val="22"/>
                <w:szCs w:val="22"/>
                <w:highlight w:val="yellow"/>
              </w:rPr>
            </w:pPr>
          </w:p>
        </w:tc>
        <w:tc>
          <w:tcPr>
            <w:tcW w:w="3640" w:type="dxa"/>
            <w:vMerge/>
            <w:shd w:val="clear" w:color="auto" w:fill="auto"/>
            <w:vAlign w:val="bottom"/>
            <w:hideMark/>
          </w:tcPr>
          <w:p w:rsidR="00247F58" w:rsidRPr="00710BB2" w:rsidRDefault="00247F58" w:rsidP="00AA1604">
            <w:pPr>
              <w:rPr>
                <w:rFonts w:ascii="Calibri" w:hAnsi="Calibri"/>
                <w:color w:val="000000"/>
                <w:sz w:val="22"/>
                <w:szCs w:val="22"/>
                <w:highlight w:val="yellow"/>
              </w:rPr>
            </w:pPr>
          </w:p>
        </w:tc>
        <w:tc>
          <w:tcPr>
            <w:tcW w:w="3500" w:type="dxa"/>
            <w:vMerge/>
            <w:shd w:val="clear" w:color="auto" w:fill="auto"/>
            <w:vAlign w:val="bottom"/>
            <w:hideMark/>
          </w:tcPr>
          <w:p w:rsidR="00247F58" w:rsidRPr="00710BB2" w:rsidRDefault="00247F58" w:rsidP="00AA1604">
            <w:pPr>
              <w:rPr>
                <w:rFonts w:ascii="Calibri" w:hAnsi="Calibri"/>
                <w:color w:val="000000"/>
                <w:sz w:val="22"/>
                <w:szCs w:val="22"/>
                <w:highlight w:val="yellow"/>
              </w:rPr>
            </w:pPr>
          </w:p>
        </w:tc>
      </w:tr>
      <w:tr w:rsidR="00247F58" w:rsidRPr="00710BB2" w:rsidTr="00AA1604">
        <w:trPr>
          <w:trHeight w:val="570"/>
        </w:trPr>
        <w:tc>
          <w:tcPr>
            <w:tcW w:w="3345" w:type="dxa"/>
            <w:shd w:val="clear" w:color="auto" w:fill="auto"/>
            <w:hideMark/>
          </w:tcPr>
          <w:p w:rsidR="00247F58" w:rsidRPr="00650036" w:rsidRDefault="00247F58" w:rsidP="00ED40FA">
            <w:pPr>
              <w:ind w:left="267" w:hanging="267"/>
              <w:rPr>
                <w:rFonts w:ascii="Calibri" w:hAnsi="Calibri"/>
                <w:color w:val="000000"/>
                <w:sz w:val="22"/>
                <w:szCs w:val="22"/>
              </w:rPr>
            </w:pPr>
            <w:r w:rsidRPr="00650036">
              <w:rPr>
                <w:rFonts w:ascii="Calibri" w:hAnsi="Calibri"/>
                <w:color w:val="000000"/>
                <w:sz w:val="22"/>
                <w:szCs w:val="22"/>
              </w:rPr>
              <w:t xml:space="preserve">3.  </w:t>
            </w:r>
            <w:r w:rsidR="00ED40FA">
              <w:rPr>
                <w:rFonts w:ascii="Calibri" w:hAnsi="Calibri"/>
                <w:color w:val="000000"/>
                <w:sz w:val="22"/>
                <w:szCs w:val="22"/>
              </w:rPr>
              <w:t>Organizational</w:t>
            </w:r>
            <w:r w:rsidRPr="00650036">
              <w:rPr>
                <w:rFonts w:ascii="Calibri" w:hAnsi="Calibri"/>
                <w:color w:val="000000"/>
                <w:sz w:val="22"/>
                <w:szCs w:val="22"/>
              </w:rPr>
              <w:t xml:space="preserve"> </w:t>
            </w:r>
            <w:r w:rsidR="00ED40FA">
              <w:rPr>
                <w:rFonts w:ascii="Calibri" w:hAnsi="Calibri"/>
                <w:color w:val="000000"/>
                <w:sz w:val="22"/>
                <w:szCs w:val="22"/>
              </w:rPr>
              <w:t>Leadership and Management</w:t>
            </w:r>
          </w:p>
        </w:tc>
        <w:tc>
          <w:tcPr>
            <w:tcW w:w="3175" w:type="dxa"/>
            <w:vMerge/>
            <w:shd w:val="clear" w:color="auto" w:fill="auto"/>
            <w:vAlign w:val="bottom"/>
            <w:hideMark/>
          </w:tcPr>
          <w:p w:rsidR="00247F58" w:rsidRPr="00710BB2" w:rsidRDefault="00247F58" w:rsidP="00AA1604">
            <w:pPr>
              <w:rPr>
                <w:rFonts w:ascii="Calibri" w:hAnsi="Calibri"/>
                <w:color w:val="000000"/>
                <w:sz w:val="22"/>
                <w:szCs w:val="22"/>
                <w:highlight w:val="yellow"/>
              </w:rPr>
            </w:pPr>
          </w:p>
        </w:tc>
        <w:tc>
          <w:tcPr>
            <w:tcW w:w="3640" w:type="dxa"/>
            <w:vMerge/>
            <w:shd w:val="clear" w:color="auto" w:fill="auto"/>
            <w:vAlign w:val="bottom"/>
            <w:hideMark/>
          </w:tcPr>
          <w:p w:rsidR="00247F58" w:rsidRPr="00710BB2" w:rsidRDefault="00247F58" w:rsidP="00AA1604">
            <w:pPr>
              <w:rPr>
                <w:rFonts w:ascii="Calibri" w:hAnsi="Calibri"/>
                <w:color w:val="000000"/>
                <w:sz w:val="22"/>
                <w:szCs w:val="22"/>
                <w:highlight w:val="yellow"/>
              </w:rPr>
            </w:pPr>
          </w:p>
        </w:tc>
        <w:tc>
          <w:tcPr>
            <w:tcW w:w="3500" w:type="dxa"/>
            <w:vMerge/>
            <w:shd w:val="clear" w:color="auto" w:fill="auto"/>
            <w:vAlign w:val="bottom"/>
            <w:hideMark/>
          </w:tcPr>
          <w:p w:rsidR="00247F58" w:rsidRPr="00710BB2" w:rsidRDefault="00247F58" w:rsidP="00AA1604">
            <w:pPr>
              <w:rPr>
                <w:rFonts w:ascii="Calibri" w:hAnsi="Calibri"/>
                <w:color w:val="000000"/>
                <w:sz w:val="22"/>
                <w:szCs w:val="22"/>
                <w:highlight w:val="yellow"/>
              </w:rPr>
            </w:pPr>
          </w:p>
        </w:tc>
      </w:tr>
      <w:tr w:rsidR="00247F58" w:rsidRPr="00710BB2" w:rsidTr="00AA1604">
        <w:trPr>
          <w:trHeight w:val="570"/>
        </w:trPr>
        <w:tc>
          <w:tcPr>
            <w:tcW w:w="3345" w:type="dxa"/>
            <w:shd w:val="clear" w:color="auto" w:fill="auto"/>
            <w:hideMark/>
          </w:tcPr>
          <w:p w:rsidR="00247F58" w:rsidRPr="00650036" w:rsidRDefault="00247F58" w:rsidP="00ED40FA">
            <w:pPr>
              <w:rPr>
                <w:rFonts w:ascii="Calibri" w:hAnsi="Calibri"/>
                <w:color w:val="000000"/>
                <w:sz w:val="22"/>
                <w:szCs w:val="22"/>
              </w:rPr>
            </w:pPr>
            <w:r w:rsidRPr="00650036">
              <w:rPr>
                <w:rFonts w:ascii="Calibri" w:hAnsi="Calibri"/>
                <w:color w:val="000000"/>
                <w:sz w:val="22"/>
                <w:szCs w:val="22"/>
              </w:rPr>
              <w:t xml:space="preserve">4.  </w:t>
            </w:r>
            <w:r w:rsidR="00ED40FA">
              <w:rPr>
                <w:rFonts w:ascii="Calibri" w:hAnsi="Calibri"/>
                <w:color w:val="000000"/>
                <w:sz w:val="22"/>
                <w:szCs w:val="22"/>
              </w:rPr>
              <w:t>Communication and Community Relations</w:t>
            </w:r>
          </w:p>
        </w:tc>
        <w:tc>
          <w:tcPr>
            <w:tcW w:w="3175" w:type="dxa"/>
            <w:vMerge/>
            <w:shd w:val="clear" w:color="auto" w:fill="auto"/>
            <w:vAlign w:val="bottom"/>
            <w:hideMark/>
          </w:tcPr>
          <w:p w:rsidR="00247F58" w:rsidRPr="00710BB2" w:rsidRDefault="00247F58" w:rsidP="00AA1604">
            <w:pPr>
              <w:rPr>
                <w:rFonts w:ascii="Calibri" w:hAnsi="Calibri"/>
                <w:color w:val="000000"/>
                <w:sz w:val="22"/>
                <w:szCs w:val="22"/>
                <w:highlight w:val="yellow"/>
              </w:rPr>
            </w:pPr>
          </w:p>
        </w:tc>
        <w:tc>
          <w:tcPr>
            <w:tcW w:w="3640" w:type="dxa"/>
            <w:vMerge/>
            <w:shd w:val="clear" w:color="auto" w:fill="auto"/>
            <w:vAlign w:val="bottom"/>
            <w:hideMark/>
          </w:tcPr>
          <w:p w:rsidR="00247F58" w:rsidRPr="00710BB2" w:rsidRDefault="00247F58" w:rsidP="00AA1604">
            <w:pPr>
              <w:rPr>
                <w:rFonts w:ascii="Calibri" w:hAnsi="Calibri"/>
                <w:color w:val="000000"/>
                <w:sz w:val="22"/>
                <w:szCs w:val="22"/>
                <w:highlight w:val="yellow"/>
              </w:rPr>
            </w:pPr>
          </w:p>
        </w:tc>
        <w:tc>
          <w:tcPr>
            <w:tcW w:w="3500" w:type="dxa"/>
            <w:vMerge/>
            <w:shd w:val="clear" w:color="auto" w:fill="auto"/>
            <w:vAlign w:val="bottom"/>
            <w:hideMark/>
          </w:tcPr>
          <w:p w:rsidR="00247F58" w:rsidRPr="00710BB2" w:rsidRDefault="00247F58" w:rsidP="00AA1604">
            <w:pPr>
              <w:rPr>
                <w:rFonts w:ascii="Calibri" w:hAnsi="Calibri"/>
                <w:color w:val="000000"/>
                <w:sz w:val="22"/>
                <w:szCs w:val="22"/>
                <w:highlight w:val="yellow"/>
              </w:rPr>
            </w:pPr>
          </w:p>
        </w:tc>
      </w:tr>
      <w:tr w:rsidR="00247F58" w:rsidRPr="00497347" w:rsidTr="00AA1604">
        <w:trPr>
          <w:trHeight w:val="570"/>
        </w:trPr>
        <w:tc>
          <w:tcPr>
            <w:tcW w:w="3345" w:type="dxa"/>
            <w:shd w:val="clear" w:color="auto" w:fill="auto"/>
            <w:hideMark/>
          </w:tcPr>
          <w:p w:rsidR="00247F58" w:rsidRPr="00650036" w:rsidRDefault="00247F58" w:rsidP="00ED40FA">
            <w:pPr>
              <w:rPr>
                <w:rFonts w:ascii="Calibri" w:hAnsi="Calibri"/>
                <w:color w:val="000000"/>
                <w:sz w:val="22"/>
                <w:szCs w:val="22"/>
              </w:rPr>
            </w:pPr>
            <w:r w:rsidRPr="00650036">
              <w:rPr>
                <w:rFonts w:ascii="Calibri" w:hAnsi="Calibri"/>
                <w:color w:val="000000"/>
                <w:sz w:val="22"/>
                <w:szCs w:val="22"/>
              </w:rPr>
              <w:t xml:space="preserve">5. </w:t>
            </w:r>
            <w:r w:rsidR="00ED40FA">
              <w:rPr>
                <w:rFonts w:ascii="Calibri" w:hAnsi="Calibri"/>
                <w:color w:val="000000"/>
                <w:sz w:val="22"/>
                <w:szCs w:val="22"/>
              </w:rPr>
              <w:t>Values and Ethics</w:t>
            </w:r>
          </w:p>
        </w:tc>
        <w:tc>
          <w:tcPr>
            <w:tcW w:w="3175" w:type="dxa"/>
            <w:vMerge/>
            <w:shd w:val="clear" w:color="auto" w:fill="auto"/>
            <w:vAlign w:val="bottom"/>
            <w:hideMark/>
          </w:tcPr>
          <w:p w:rsidR="00247F58" w:rsidRPr="00497347" w:rsidRDefault="00247F58" w:rsidP="00AA1604">
            <w:pPr>
              <w:rPr>
                <w:rFonts w:ascii="Calibri" w:hAnsi="Calibri"/>
                <w:color w:val="000000"/>
                <w:sz w:val="22"/>
                <w:szCs w:val="22"/>
              </w:rPr>
            </w:pPr>
          </w:p>
        </w:tc>
        <w:tc>
          <w:tcPr>
            <w:tcW w:w="3640" w:type="dxa"/>
            <w:vMerge/>
            <w:shd w:val="clear" w:color="auto" w:fill="auto"/>
            <w:vAlign w:val="bottom"/>
            <w:hideMark/>
          </w:tcPr>
          <w:p w:rsidR="00247F58" w:rsidRPr="00497347" w:rsidRDefault="00247F58" w:rsidP="00AA1604">
            <w:pPr>
              <w:rPr>
                <w:rFonts w:ascii="Calibri" w:hAnsi="Calibri"/>
                <w:color w:val="000000"/>
                <w:sz w:val="22"/>
                <w:szCs w:val="22"/>
              </w:rPr>
            </w:pPr>
          </w:p>
        </w:tc>
        <w:tc>
          <w:tcPr>
            <w:tcW w:w="3500" w:type="dxa"/>
            <w:vMerge/>
            <w:shd w:val="clear" w:color="auto" w:fill="auto"/>
            <w:vAlign w:val="bottom"/>
            <w:hideMark/>
          </w:tcPr>
          <w:p w:rsidR="00247F58" w:rsidRPr="00497347" w:rsidRDefault="00247F58" w:rsidP="00AA1604">
            <w:pPr>
              <w:rPr>
                <w:rFonts w:ascii="Calibri" w:hAnsi="Calibri"/>
                <w:color w:val="000000"/>
                <w:sz w:val="22"/>
                <w:szCs w:val="22"/>
              </w:rPr>
            </w:pPr>
          </w:p>
        </w:tc>
      </w:tr>
      <w:tr w:rsidR="00247F58" w:rsidRPr="00497347" w:rsidTr="00AA1604">
        <w:trPr>
          <w:trHeight w:val="570"/>
        </w:trPr>
        <w:tc>
          <w:tcPr>
            <w:tcW w:w="3345" w:type="dxa"/>
            <w:shd w:val="clear" w:color="auto" w:fill="auto"/>
          </w:tcPr>
          <w:p w:rsidR="00247F58" w:rsidRPr="00650036" w:rsidRDefault="00247F58" w:rsidP="00ED40FA">
            <w:pPr>
              <w:rPr>
                <w:rFonts w:ascii="Calibri" w:hAnsi="Calibri"/>
                <w:color w:val="000000"/>
                <w:sz w:val="22"/>
                <w:szCs w:val="22"/>
              </w:rPr>
            </w:pPr>
            <w:r w:rsidRPr="00650036">
              <w:rPr>
                <w:rFonts w:ascii="Calibri" w:hAnsi="Calibri"/>
                <w:color w:val="000000"/>
                <w:sz w:val="22"/>
                <w:szCs w:val="22"/>
              </w:rPr>
              <w:t xml:space="preserve">6. </w:t>
            </w:r>
            <w:r w:rsidR="00ED40FA">
              <w:rPr>
                <w:rFonts w:ascii="Calibri" w:hAnsi="Calibri"/>
                <w:color w:val="000000"/>
                <w:sz w:val="22"/>
                <w:szCs w:val="22"/>
              </w:rPr>
              <w:t>Political Impact</w:t>
            </w:r>
          </w:p>
        </w:tc>
        <w:tc>
          <w:tcPr>
            <w:tcW w:w="3175" w:type="dxa"/>
            <w:vMerge/>
            <w:shd w:val="clear" w:color="auto" w:fill="auto"/>
            <w:vAlign w:val="bottom"/>
          </w:tcPr>
          <w:p w:rsidR="00247F58" w:rsidRPr="00497347" w:rsidRDefault="00247F58" w:rsidP="00AA1604">
            <w:pPr>
              <w:rPr>
                <w:rFonts w:ascii="Calibri" w:hAnsi="Calibri"/>
                <w:color w:val="000000"/>
                <w:sz w:val="22"/>
                <w:szCs w:val="22"/>
              </w:rPr>
            </w:pPr>
          </w:p>
        </w:tc>
        <w:tc>
          <w:tcPr>
            <w:tcW w:w="3640" w:type="dxa"/>
            <w:vMerge/>
            <w:shd w:val="clear" w:color="auto" w:fill="auto"/>
            <w:vAlign w:val="bottom"/>
          </w:tcPr>
          <w:p w:rsidR="00247F58" w:rsidRPr="00497347" w:rsidRDefault="00247F58" w:rsidP="00AA1604">
            <w:pPr>
              <w:rPr>
                <w:rFonts w:ascii="Calibri" w:hAnsi="Calibri"/>
                <w:color w:val="000000"/>
                <w:sz w:val="22"/>
                <w:szCs w:val="22"/>
              </w:rPr>
            </w:pPr>
          </w:p>
        </w:tc>
        <w:tc>
          <w:tcPr>
            <w:tcW w:w="3500" w:type="dxa"/>
            <w:vMerge/>
            <w:shd w:val="clear" w:color="auto" w:fill="auto"/>
            <w:vAlign w:val="bottom"/>
          </w:tcPr>
          <w:p w:rsidR="00247F58" w:rsidRPr="00497347" w:rsidRDefault="00247F58" w:rsidP="00AA1604">
            <w:pPr>
              <w:rPr>
                <w:rFonts w:ascii="Calibri" w:hAnsi="Calibri"/>
                <w:color w:val="000000"/>
                <w:sz w:val="22"/>
                <w:szCs w:val="22"/>
              </w:rPr>
            </w:pPr>
          </w:p>
        </w:tc>
      </w:tr>
    </w:tbl>
    <w:p w:rsidR="00247F58" w:rsidRDefault="00247F58" w:rsidP="00497347">
      <w:pPr>
        <w:rPr>
          <w:rFonts w:ascii="Calibri" w:hAnsi="Calibri"/>
          <w:color w:val="000000"/>
          <w:sz w:val="22"/>
          <w:szCs w:val="22"/>
        </w:rPr>
      </w:pPr>
    </w:p>
    <w:p w:rsidR="00497347" w:rsidRPr="00497347" w:rsidRDefault="00497347" w:rsidP="00497347">
      <w:pPr>
        <w:rPr>
          <w:rFonts w:ascii="Calibri" w:hAnsi="Calibri"/>
          <w:color w:val="000000"/>
          <w:sz w:val="22"/>
          <w:szCs w:val="22"/>
        </w:rPr>
      </w:pPr>
      <w:r w:rsidRPr="00497347">
        <w:rPr>
          <w:rFonts w:ascii="Calibri" w:hAnsi="Calibri"/>
          <w:color w:val="000000"/>
          <w:sz w:val="22"/>
          <w:szCs w:val="22"/>
        </w:rPr>
        <w:t xml:space="preserve">* The Student Learning Outcomes (SLOs) while student centered are </w:t>
      </w:r>
      <w:r w:rsidRPr="00497347">
        <w:rPr>
          <w:rFonts w:ascii="Calibri" w:hAnsi="Calibri"/>
          <w:color w:val="000000"/>
          <w:sz w:val="22"/>
          <w:szCs w:val="22"/>
          <w:u w:val="single"/>
        </w:rPr>
        <w:t>not</w:t>
      </w:r>
      <w:r w:rsidRPr="00497347">
        <w:rPr>
          <w:rFonts w:ascii="Calibri" w:hAnsi="Calibri"/>
          <w:color w:val="000000"/>
          <w:sz w:val="22"/>
          <w:szCs w:val="22"/>
        </w:rPr>
        <w:t xml:space="preserve"> individual course offerings but the overall SLOs for the program; certificate, associate, bachelor, minor, or master degree program.</w:t>
      </w:r>
    </w:p>
    <w:p w:rsidR="00497347" w:rsidRDefault="00497347" w:rsidP="00497347">
      <w:pPr>
        <w:rPr>
          <w:rFonts w:ascii="Calibri" w:hAnsi="Calibri"/>
          <w:color w:val="000000"/>
          <w:sz w:val="22"/>
          <w:szCs w:val="22"/>
        </w:rPr>
      </w:pPr>
      <w:r w:rsidRPr="00497347">
        <w:rPr>
          <w:rFonts w:ascii="Calibri" w:hAnsi="Calibri"/>
          <w:color w:val="000000"/>
          <w:sz w:val="22"/>
          <w:szCs w:val="22"/>
        </w:rPr>
        <w:t>Assessment Committee Evaluation Key:  0 - No Submission, 1 - No Statement, 2 - Undeveloped, 3 - Moderately Developed, 4 - Well Developed</w:t>
      </w:r>
    </w:p>
    <w:p w:rsidR="00650036" w:rsidRDefault="00650036">
      <w:pPr>
        <w:rPr>
          <w:b/>
          <w:bCs/>
          <w:color w:val="000000"/>
        </w:rPr>
      </w:pPr>
      <w:bookmarkStart w:id="1" w:name="RANGE!A1:A36"/>
      <w:r>
        <w:rPr>
          <w:b/>
          <w:bCs/>
          <w:color w:val="000000"/>
        </w:rPr>
        <w:br w:type="page"/>
      </w:r>
    </w:p>
    <w:p w:rsidR="00497347" w:rsidRPr="00497347" w:rsidRDefault="00497347" w:rsidP="00497347">
      <w:pPr>
        <w:pBdr>
          <w:bottom w:val="single" w:sz="4" w:space="1" w:color="auto"/>
        </w:pBdr>
        <w:spacing w:after="240"/>
        <w:rPr>
          <w:b/>
          <w:bCs/>
          <w:color w:val="000000"/>
        </w:rPr>
      </w:pPr>
      <w:r w:rsidRPr="00497347">
        <w:rPr>
          <w:b/>
          <w:bCs/>
          <w:color w:val="000000"/>
        </w:rPr>
        <w:t>Processes</w:t>
      </w:r>
      <w:bookmarkEnd w:id="1"/>
    </w:p>
    <w:p w:rsidR="00497347" w:rsidRPr="00CD1659" w:rsidRDefault="00497347" w:rsidP="00CD1659">
      <w:pPr>
        <w:pStyle w:val="ListParagraph"/>
        <w:numPr>
          <w:ilvl w:val="0"/>
          <w:numId w:val="1"/>
        </w:numPr>
        <w:spacing w:after="240"/>
        <w:ind w:left="360"/>
        <w:rPr>
          <w:b/>
          <w:bCs/>
          <w:color w:val="000000"/>
        </w:rPr>
      </w:pPr>
      <w:r w:rsidRPr="00CD1659">
        <w:rPr>
          <w:b/>
          <w:bCs/>
          <w:color w:val="000000"/>
        </w:rPr>
        <w:t xml:space="preserve">How do you determine which common or shared objectives for learning and development you should hold for all students pursuing degrees at a particular level? Whom do you involve in setting these objectives? </w:t>
      </w:r>
    </w:p>
    <w:p w:rsidR="001E564C" w:rsidRDefault="00497347" w:rsidP="00256C8C">
      <w:pPr>
        <w:spacing w:after="240"/>
        <w:rPr>
          <w:color w:val="000000"/>
        </w:rPr>
      </w:pPr>
      <w:r w:rsidRPr="00497347">
        <w:rPr>
          <w:color w:val="000000"/>
        </w:rPr>
        <w:t xml:space="preserve">The </w:t>
      </w:r>
      <w:r w:rsidR="005B51C3">
        <w:rPr>
          <w:color w:val="000000"/>
        </w:rPr>
        <w:t>standards</w:t>
      </w:r>
      <w:r w:rsidRPr="00497347">
        <w:rPr>
          <w:color w:val="000000"/>
        </w:rPr>
        <w:t xml:space="preserve"> (</w:t>
      </w:r>
      <w:r w:rsidR="005B51C3">
        <w:rPr>
          <w:color w:val="000000"/>
        </w:rPr>
        <w:t>Educational Leadership</w:t>
      </w:r>
      <w:r w:rsidRPr="00497347">
        <w:rPr>
          <w:color w:val="000000"/>
        </w:rPr>
        <w:t xml:space="preserve"> Preparation Competencies</w:t>
      </w:r>
      <w:r w:rsidR="005B51C3">
        <w:rPr>
          <w:color w:val="000000"/>
        </w:rPr>
        <w:t xml:space="preserve"> and the ISLLC Standards</w:t>
      </w:r>
      <w:r w:rsidRPr="00497347">
        <w:rPr>
          <w:color w:val="000000"/>
        </w:rPr>
        <w:t>) are mandated by the New Mexico Public Education Department as identified in New Mexico</w:t>
      </w:r>
      <w:r w:rsidR="00AE0154">
        <w:rPr>
          <w:color w:val="000000"/>
        </w:rPr>
        <w:t xml:space="preserve"> Code Title 6, Chapter 6</w:t>
      </w:r>
      <w:r w:rsidR="001E564C">
        <w:rPr>
          <w:color w:val="000000"/>
        </w:rPr>
        <w:t>2</w:t>
      </w:r>
      <w:r w:rsidR="00AE0154">
        <w:rPr>
          <w:color w:val="000000"/>
        </w:rPr>
        <w:t xml:space="preserve">, </w:t>
      </w:r>
      <w:proofErr w:type="gramStart"/>
      <w:r w:rsidR="00271EE5">
        <w:rPr>
          <w:color w:val="000000"/>
        </w:rPr>
        <w:t>Part</w:t>
      </w:r>
      <w:proofErr w:type="gramEnd"/>
      <w:r w:rsidR="00271EE5">
        <w:rPr>
          <w:color w:val="000000"/>
        </w:rPr>
        <w:t xml:space="preserve"> </w:t>
      </w:r>
      <w:r w:rsidR="001E564C">
        <w:rPr>
          <w:color w:val="000000"/>
        </w:rPr>
        <w:t>2</w:t>
      </w:r>
      <w:r w:rsidRPr="00497347">
        <w:rPr>
          <w:color w:val="000000"/>
        </w:rPr>
        <w:t xml:space="preserve">: </w:t>
      </w:r>
      <w:r w:rsidR="001E564C">
        <w:rPr>
          <w:color w:val="000000"/>
        </w:rPr>
        <w:t xml:space="preserve">Licensure for Educational Administration, Grades Pre K-12. </w:t>
      </w:r>
      <w:r w:rsidR="00D41311">
        <w:rPr>
          <w:color w:val="000000"/>
        </w:rPr>
        <w:t xml:space="preserve">These </w:t>
      </w:r>
      <w:r w:rsidR="00CD1659">
        <w:rPr>
          <w:color w:val="000000"/>
        </w:rPr>
        <w:t xml:space="preserve">apply to all candidates completing a </w:t>
      </w:r>
      <w:r w:rsidR="001E564C">
        <w:rPr>
          <w:color w:val="000000"/>
        </w:rPr>
        <w:t>master’s degree or certificate in Educational Leadership</w:t>
      </w:r>
      <w:r w:rsidR="00D41311">
        <w:rPr>
          <w:color w:val="000000"/>
        </w:rPr>
        <w:t>.</w:t>
      </w:r>
      <w:r w:rsidR="00CD1659">
        <w:rPr>
          <w:color w:val="000000"/>
        </w:rPr>
        <w:t xml:space="preserve"> </w:t>
      </w:r>
    </w:p>
    <w:p w:rsidR="00650036" w:rsidRPr="00497347" w:rsidRDefault="00650036" w:rsidP="00256C8C">
      <w:pPr>
        <w:spacing w:after="240"/>
        <w:rPr>
          <w:color w:val="000000"/>
        </w:rPr>
      </w:pPr>
      <w:r>
        <w:t xml:space="preserve">Finally, program reviews occur on a 5-year basis and are reviewed by </w:t>
      </w:r>
      <w:r w:rsidR="001E564C">
        <w:t>the</w:t>
      </w:r>
      <w:r>
        <w:t xml:space="preserve"> Graduate Council. That process is highly similar to this Student Learning Outcome analysis.</w:t>
      </w:r>
    </w:p>
    <w:p w:rsidR="00497347" w:rsidRPr="00256C8C" w:rsidRDefault="00497347" w:rsidP="00256C8C">
      <w:pPr>
        <w:pStyle w:val="ListParagraph"/>
        <w:numPr>
          <w:ilvl w:val="0"/>
          <w:numId w:val="1"/>
        </w:numPr>
        <w:spacing w:after="240"/>
        <w:ind w:left="360"/>
        <w:rPr>
          <w:b/>
          <w:bCs/>
          <w:color w:val="000000"/>
        </w:rPr>
      </w:pPr>
      <w:r w:rsidRPr="00256C8C">
        <w:rPr>
          <w:b/>
          <w:bCs/>
          <w:color w:val="000000"/>
        </w:rPr>
        <w:t xml:space="preserve">How do you determine your specific program learning objectives? Whom do you involve in setting these objectives? </w:t>
      </w:r>
    </w:p>
    <w:p w:rsidR="00F82842" w:rsidRPr="0020740A" w:rsidRDefault="00497347" w:rsidP="00F82842">
      <w:pPr>
        <w:spacing w:after="240"/>
        <w:rPr>
          <w:color w:val="000000"/>
        </w:rPr>
      </w:pPr>
      <w:r w:rsidRPr="00497347">
        <w:rPr>
          <w:color w:val="000000"/>
        </w:rPr>
        <w:t>The objectives are mandated by the New Mexico Public Education Department as identified in New Mexico Code Title 6, Chapter 6</w:t>
      </w:r>
      <w:r w:rsidR="001E564C">
        <w:rPr>
          <w:color w:val="000000"/>
        </w:rPr>
        <w:t>2</w:t>
      </w:r>
      <w:r w:rsidRPr="00497347">
        <w:rPr>
          <w:color w:val="000000"/>
        </w:rPr>
        <w:t xml:space="preserve">, </w:t>
      </w:r>
      <w:proofErr w:type="gramStart"/>
      <w:r w:rsidR="00271EE5">
        <w:rPr>
          <w:color w:val="000000"/>
        </w:rPr>
        <w:t>Part</w:t>
      </w:r>
      <w:proofErr w:type="gramEnd"/>
      <w:r w:rsidR="00271EE5">
        <w:rPr>
          <w:color w:val="000000"/>
        </w:rPr>
        <w:t xml:space="preserve"> </w:t>
      </w:r>
      <w:r w:rsidR="001E564C">
        <w:rPr>
          <w:color w:val="000000"/>
        </w:rPr>
        <w:t>2</w:t>
      </w:r>
      <w:r w:rsidRPr="00497347">
        <w:rPr>
          <w:color w:val="000000"/>
        </w:rPr>
        <w:t xml:space="preserve">: </w:t>
      </w:r>
      <w:r w:rsidR="001E564C">
        <w:rPr>
          <w:color w:val="000000"/>
        </w:rPr>
        <w:t>Licensure for Educational Administration, Grades Pre K-12. The Educational Leadership program is aligned with other programs in the state as mandated by the legislature.</w:t>
      </w:r>
    </w:p>
    <w:p w:rsidR="00497347" w:rsidRPr="00497347" w:rsidRDefault="00497347" w:rsidP="00CD1659">
      <w:pPr>
        <w:pStyle w:val="ListParagraph"/>
        <w:numPr>
          <w:ilvl w:val="0"/>
          <w:numId w:val="1"/>
        </w:numPr>
        <w:spacing w:after="240"/>
        <w:ind w:left="360"/>
        <w:rPr>
          <w:b/>
          <w:bCs/>
          <w:color w:val="000000"/>
        </w:rPr>
      </w:pPr>
      <w:r w:rsidRPr="00497347">
        <w:rPr>
          <w:b/>
          <w:bCs/>
          <w:color w:val="000000"/>
        </w:rPr>
        <w:t xml:space="preserve">How do you design new programs and courses that facilitate student learning and are competitive with those offered by other organizations? </w:t>
      </w:r>
    </w:p>
    <w:p w:rsidR="00497347" w:rsidRPr="00497347" w:rsidRDefault="001E564C" w:rsidP="00497347">
      <w:pPr>
        <w:spacing w:after="240"/>
        <w:rPr>
          <w:color w:val="000000"/>
        </w:rPr>
      </w:pPr>
      <w:r>
        <w:rPr>
          <w:color w:val="000000"/>
        </w:rPr>
        <w:t>Educational Leadership Programs</w:t>
      </w:r>
      <w:r w:rsidR="00497347" w:rsidRPr="00497347">
        <w:rPr>
          <w:color w:val="000000"/>
        </w:rPr>
        <w:t xml:space="preserve"> within the state of New Mexico must meet the same competencies as identified above and must be accredited </w:t>
      </w:r>
      <w:r w:rsidR="00356835">
        <w:rPr>
          <w:color w:val="000000"/>
        </w:rPr>
        <w:t xml:space="preserve">and approved </w:t>
      </w:r>
      <w:r w:rsidR="00497347" w:rsidRPr="00497347">
        <w:rPr>
          <w:color w:val="000000"/>
        </w:rPr>
        <w:t>by the New Mexico Public Education Department</w:t>
      </w:r>
      <w:r w:rsidR="00356835">
        <w:rPr>
          <w:color w:val="000000"/>
        </w:rPr>
        <w:t>, New Mexico Higher Education Department</w:t>
      </w:r>
      <w:r w:rsidR="00497347" w:rsidRPr="00497347">
        <w:rPr>
          <w:color w:val="000000"/>
        </w:rPr>
        <w:t xml:space="preserve"> and National Council for Accreditation of Teacher Education. New programs must meet these same guidelines and must receive approval from </w:t>
      </w:r>
      <w:r w:rsidR="00A65799">
        <w:rPr>
          <w:color w:val="000000"/>
        </w:rPr>
        <w:t xml:space="preserve">the WNMU Board of Regents, </w:t>
      </w:r>
      <w:r w:rsidR="00497347" w:rsidRPr="00497347">
        <w:rPr>
          <w:color w:val="000000"/>
        </w:rPr>
        <w:t>the New Mexico Public Education Department</w:t>
      </w:r>
      <w:r w:rsidR="00D41311">
        <w:rPr>
          <w:color w:val="000000"/>
        </w:rPr>
        <w:t>, and the Professional Practices Standards Committee</w:t>
      </w:r>
      <w:r w:rsidR="00497347" w:rsidRPr="00497347">
        <w:rPr>
          <w:color w:val="000000"/>
        </w:rPr>
        <w:t xml:space="preserve">. Courses added to existing programs or designed for new programs must first meet the competencies identified in New Mexico </w:t>
      </w:r>
      <w:r w:rsidR="00D41311">
        <w:rPr>
          <w:color w:val="000000"/>
        </w:rPr>
        <w:t>State Statute</w:t>
      </w:r>
      <w:r w:rsidR="00497347" w:rsidRPr="00497347">
        <w:rPr>
          <w:color w:val="000000"/>
        </w:rPr>
        <w:t>. Additionally, feedback is sought from the local school districts</w:t>
      </w:r>
      <w:r w:rsidR="00CD1659">
        <w:rPr>
          <w:color w:val="000000"/>
        </w:rPr>
        <w:t>, agencies,</w:t>
      </w:r>
      <w:r w:rsidR="00497347" w:rsidRPr="00497347">
        <w:rPr>
          <w:color w:val="000000"/>
        </w:rPr>
        <w:t xml:space="preserve"> and communities served. Courses which go beyond state competencies have been added to existing programs based upon the needs of the districts and communities we serve. </w:t>
      </w:r>
    </w:p>
    <w:p w:rsidR="00F82842" w:rsidRDefault="00F82842">
      <w:pPr>
        <w:rPr>
          <w:b/>
          <w:bCs/>
          <w:color w:val="000000"/>
        </w:rPr>
      </w:pPr>
      <w:r>
        <w:rPr>
          <w:b/>
          <w:bCs/>
          <w:color w:val="000000"/>
        </w:rPr>
        <w:br w:type="page"/>
      </w:r>
    </w:p>
    <w:p w:rsidR="00497347" w:rsidRPr="00497347" w:rsidRDefault="00497347" w:rsidP="00CD1659">
      <w:pPr>
        <w:pStyle w:val="ListParagraph"/>
        <w:numPr>
          <w:ilvl w:val="0"/>
          <w:numId w:val="1"/>
        </w:numPr>
        <w:spacing w:after="240"/>
        <w:ind w:left="360"/>
        <w:rPr>
          <w:b/>
          <w:bCs/>
          <w:color w:val="000000"/>
        </w:rPr>
      </w:pPr>
      <w:r w:rsidRPr="00497347">
        <w:rPr>
          <w:b/>
          <w:bCs/>
          <w:color w:val="000000"/>
        </w:rPr>
        <w:t xml:space="preserve">How do you design responsive academic programming that balances and integrates learning goals, students’ career needs, and the realities of the employment market? </w:t>
      </w:r>
    </w:p>
    <w:p w:rsidR="00497347" w:rsidRPr="00497347" w:rsidRDefault="001E564C" w:rsidP="00497347">
      <w:pPr>
        <w:spacing w:after="240"/>
        <w:rPr>
          <w:color w:val="000000"/>
        </w:rPr>
      </w:pPr>
      <w:r>
        <w:rPr>
          <w:color w:val="000000"/>
        </w:rPr>
        <w:t>Educational Leadership</w:t>
      </w:r>
      <w:r w:rsidR="00497347" w:rsidRPr="00497347">
        <w:rPr>
          <w:color w:val="000000"/>
        </w:rPr>
        <w:t xml:space="preserve"> Programs within the state of New Mexico must meet the same competencies as identified above and must be accredited by the New Mexico Public Education Department and the National Council for Accreditation of Teacher Education. Courses added to existing programs or designed for new programs must first meet the competencies identified in New Mexico </w:t>
      </w:r>
      <w:r w:rsidR="00D41311">
        <w:rPr>
          <w:color w:val="000000"/>
        </w:rPr>
        <w:t>State Statute</w:t>
      </w:r>
      <w:r w:rsidR="00497347" w:rsidRPr="00497347">
        <w:rPr>
          <w:color w:val="000000"/>
        </w:rPr>
        <w:t>. However, feedback is sought from the local school districts</w:t>
      </w:r>
      <w:r w:rsidR="00CD1659">
        <w:rPr>
          <w:color w:val="000000"/>
        </w:rPr>
        <w:t>, agencies,</w:t>
      </w:r>
      <w:r w:rsidR="00497347" w:rsidRPr="00497347">
        <w:rPr>
          <w:color w:val="000000"/>
        </w:rPr>
        <w:t xml:space="preserve"> and communities served</w:t>
      </w:r>
      <w:r w:rsidR="00356835">
        <w:rPr>
          <w:color w:val="000000"/>
        </w:rPr>
        <w:t xml:space="preserve"> through needs surveys and other instruments and through advisory councils</w:t>
      </w:r>
      <w:r w:rsidR="00CD1659">
        <w:rPr>
          <w:color w:val="000000"/>
        </w:rPr>
        <w:t>, as is required by the Program Review process supported by the Institution</w:t>
      </w:r>
      <w:r w:rsidR="00497347" w:rsidRPr="00497347">
        <w:rPr>
          <w:color w:val="000000"/>
        </w:rPr>
        <w:t xml:space="preserve">. </w:t>
      </w:r>
      <w:proofErr w:type="gramStart"/>
      <w:r>
        <w:rPr>
          <w:color w:val="000000"/>
        </w:rPr>
        <w:t>Curriculum</w:t>
      </w:r>
      <w:r w:rsidR="00497347" w:rsidRPr="00497347">
        <w:rPr>
          <w:color w:val="000000"/>
        </w:rPr>
        <w:t xml:space="preserve"> which go</w:t>
      </w:r>
      <w:proofErr w:type="gramEnd"/>
      <w:r w:rsidR="00497347" w:rsidRPr="00497347">
        <w:rPr>
          <w:color w:val="000000"/>
        </w:rPr>
        <w:t xml:space="preserve"> beyond state competencies have been added to </w:t>
      </w:r>
      <w:r>
        <w:rPr>
          <w:color w:val="000000"/>
        </w:rPr>
        <w:t>course work</w:t>
      </w:r>
      <w:r w:rsidR="00497347" w:rsidRPr="00497347">
        <w:rPr>
          <w:color w:val="000000"/>
        </w:rPr>
        <w:t xml:space="preserve"> based upon the needs of the districts</w:t>
      </w:r>
      <w:r w:rsidR="00CD1659">
        <w:rPr>
          <w:color w:val="000000"/>
        </w:rPr>
        <w:t>, agencies,</w:t>
      </w:r>
      <w:r w:rsidR="00497347" w:rsidRPr="00497347">
        <w:rPr>
          <w:color w:val="000000"/>
        </w:rPr>
        <w:t xml:space="preserve"> and communities we serve.</w:t>
      </w:r>
      <w:r w:rsidR="00C4443D">
        <w:rPr>
          <w:color w:val="000000"/>
        </w:rPr>
        <w:t xml:space="preserve"> </w:t>
      </w:r>
    </w:p>
    <w:p w:rsidR="00497347" w:rsidRPr="00497347" w:rsidRDefault="00497347" w:rsidP="00CD1659">
      <w:pPr>
        <w:pStyle w:val="ListParagraph"/>
        <w:numPr>
          <w:ilvl w:val="0"/>
          <w:numId w:val="1"/>
        </w:numPr>
        <w:spacing w:after="240"/>
        <w:ind w:left="360"/>
        <w:rPr>
          <w:b/>
          <w:bCs/>
          <w:color w:val="000000"/>
        </w:rPr>
      </w:pPr>
      <w:r w:rsidRPr="00497347">
        <w:rPr>
          <w:b/>
          <w:bCs/>
          <w:color w:val="000000"/>
        </w:rPr>
        <w:t xml:space="preserve">How do you determine the preparation required of students for the specific curricula, programs, courses, and learning they will pursue? </w:t>
      </w:r>
    </w:p>
    <w:p w:rsidR="00AB72FA" w:rsidRPr="00AB72FA" w:rsidRDefault="00AB72FA" w:rsidP="00AB72FA">
      <w:pPr>
        <w:spacing w:after="240"/>
        <w:rPr>
          <w:color w:val="000000"/>
        </w:rPr>
      </w:pPr>
      <w:r>
        <w:t xml:space="preserve">At the state level,  </w:t>
      </w:r>
      <w:r w:rsidRPr="00AB72FA">
        <w:rPr>
          <w:color w:val="000000"/>
        </w:rPr>
        <w:t xml:space="preserve">faculty participate in </w:t>
      </w:r>
      <w:r w:rsidR="001E564C">
        <w:rPr>
          <w:color w:val="000000"/>
        </w:rPr>
        <w:t>state-wide groups which foster the development and alignment of Educational Leadership programs to each other, to state competencies, and to the ISLLC Standards.</w:t>
      </w:r>
    </w:p>
    <w:p w:rsidR="005608B0" w:rsidRPr="00AB72FA" w:rsidRDefault="00AB72FA" w:rsidP="005608B0">
      <w:pPr>
        <w:spacing w:after="240"/>
        <w:rPr>
          <w:color w:val="000000"/>
        </w:rPr>
      </w:pPr>
      <w:r w:rsidRPr="00AB72FA">
        <w:rPr>
          <w:color w:val="000000"/>
        </w:rPr>
        <w:t>At the university level, there is a minimum GPA requirement for admission</w:t>
      </w:r>
      <w:r w:rsidR="005608B0">
        <w:rPr>
          <w:color w:val="000000"/>
        </w:rPr>
        <w:t xml:space="preserve"> at the graduate level</w:t>
      </w:r>
      <w:r w:rsidRPr="00AB72FA">
        <w:rPr>
          <w:color w:val="000000"/>
        </w:rPr>
        <w:t>. Individual fields of study may have additional admission requirements. There are rarely any limits on registration for classes, but when those are needed, instructors evaluate student preparation and determine eligibility</w:t>
      </w:r>
      <w:r>
        <w:t xml:space="preserve"> for enrollment. </w:t>
      </w:r>
      <w:proofErr w:type="gramStart"/>
      <w:r w:rsidR="005608B0">
        <w:rPr>
          <w:color w:val="000000"/>
        </w:rPr>
        <w:t>College of Education faculty work with students to make sure that the have the required writing and research skills in order to be successful in the Educational Leadership program</w:t>
      </w:r>
      <w:r w:rsidR="005608B0" w:rsidRPr="00AB72FA">
        <w:rPr>
          <w:color w:val="000000"/>
        </w:rPr>
        <w:t>.</w:t>
      </w:r>
      <w:proofErr w:type="gramEnd"/>
    </w:p>
    <w:p w:rsidR="00497347" w:rsidRPr="00497347" w:rsidRDefault="00497347" w:rsidP="00497347">
      <w:pPr>
        <w:spacing w:after="240"/>
        <w:rPr>
          <w:color w:val="000000"/>
        </w:rPr>
      </w:pPr>
      <w:r w:rsidRPr="00497347">
        <w:rPr>
          <w:color w:val="000000"/>
        </w:rPr>
        <w:t xml:space="preserve">The preparation required of students is determined by the objectives identified in New Mexico </w:t>
      </w:r>
      <w:r w:rsidR="00D41311">
        <w:rPr>
          <w:color w:val="000000"/>
        </w:rPr>
        <w:t>State Statute</w:t>
      </w:r>
      <w:r w:rsidRPr="00497347">
        <w:rPr>
          <w:color w:val="000000"/>
        </w:rPr>
        <w:t xml:space="preserve"> and the Licensure Requirements for the degree being obtained. </w:t>
      </w:r>
      <w:r w:rsidR="00516639">
        <w:rPr>
          <w:color w:val="000000"/>
        </w:rPr>
        <w:t>Additionally, f</w:t>
      </w:r>
      <w:r w:rsidRPr="00497347">
        <w:rPr>
          <w:color w:val="000000"/>
        </w:rPr>
        <w:t xml:space="preserve">aculty within the </w:t>
      </w:r>
      <w:r w:rsidR="00F5146A">
        <w:rPr>
          <w:color w:val="000000"/>
        </w:rPr>
        <w:t>College</w:t>
      </w:r>
      <w:r w:rsidRPr="00497347">
        <w:rPr>
          <w:color w:val="000000"/>
        </w:rPr>
        <w:t xml:space="preserve"> of Education work closely together to identify necessary prerequisites - meeting monthly to discuss program and student needs. Additionally, data from assessments completed by clinical faculty who </w:t>
      </w:r>
      <w:r w:rsidR="00F9310E">
        <w:rPr>
          <w:color w:val="000000"/>
        </w:rPr>
        <w:t>work within the districts and su</w:t>
      </w:r>
      <w:r w:rsidRPr="00497347">
        <w:rPr>
          <w:color w:val="000000"/>
        </w:rPr>
        <w:t>rveys completed by graduates and employers are used to identify issues where students were not prepared to meet the competencies.</w:t>
      </w:r>
      <w:r w:rsidR="00F9310E">
        <w:rPr>
          <w:color w:val="000000"/>
        </w:rPr>
        <w:t xml:space="preserve"> Additionally, students must pas</w:t>
      </w:r>
      <w:r w:rsidR="009B5FE0">
        <w:rPr>
          <w:color w:val="000000"/>
        </w:rPr>
        <w:t>s</w:t>
      </w:r>
      <w:r w:rsidR="00F9310E">
        <w:rPr>
          <w:color w:val="000000"/>
        </w:rPr>
        <w:t xml:space="preserve"> the </w:t>
      </w:r>
      <w:r w:rsidR="005608B0">
        <w:rPr>
          <w:color w:val="000000"/>
        </w:rPr>
        <w:t>state assessments</w:t>
      </w:r>
      <w:r w:rsidR="00F9310E">
        <w:rPr>
          <w:color w:val="000000"/>
        </w:rPr>
        <w:t xml:space="preserve"> for their program</w:t>
      </w:r>
      <w:r w:rsidR="00C4443D">
        <w:rPr>
          <w:color w:val="000000"/>
        </w:rPr>
        <w:t xml:space="preserve"> prior to graduation and subsequent licensure</w:t>
      </w:r>
      <w:r w:rsidR="005608B0">
        <w:rPr>
          <w:color w:val="000000"/>
        </w:rPr>
        <w:t xml:space="preserve"> by the state of New Mexico</w:t>
      </w:r>
      <w:r w:rsidR="00F9310E">
        <w:rPr>
          <w:color w:val="000000"/>
        </w:rPr>
        <w:t xml:space="preserve">. These data </w:t>
      </w:r>
      <w:r w:rsidR="00516639">
        <w:rPr>
          <w:color w:val="000000"/>
        </w:rPr>
        <w:t>are</w:t>
      </w:r>
      <w:r w:rsidR="00F9310E">
        <w:rPr>
          <w:color w:val="000000"/>
        </w:rPr>
        <w:t xml:space="preserve"> also collated, reviewed and analyzed.</w:t>
      </w:r>
      <w:r w:rsidRPr="00497347">
        <w:rPr>
          <w:color w:val="000000"/>
        </w:rPr>
        <w:t xml:space="preserve"> This information is used to strengthen the program and better prepare students for the workplace.</w:t>
      </w:r>
    </w:p>
    <w:p w:rsidR="00497347" w:rsidRPr="00497347" w:rsidRDefault="00497347" w:rsidP="00CD1659">
      <w:pPr>
        <w:pStyle w:val="ListParagraph"/>
        <w:numPr>
          <w:ilvl w:val="0"/>
          <w:numId w:val="1"/>
        </w:numPr>
        <w:spacing w:after="240"/>
        <w:ind w:left="360"/>
        <w:rPr>
          <w:b/>
          <w:bCs/>
          <w:color w:val="000000"/>
        </w:rPr>
      </w:pPr>
      <w:r w:rsidRPr="00497347">
        <w:rPr>
          <w:b/>
          <w:bCs/>
          <w:color w:val="000000"/>
        </w:rPr>
        <w:t xml:space="preserve">How do you communicate to current and prospective students the required preparation and learning and development objectives for specific programs, courses, and degrees or credentials? How do admissions, student support, and registration services aid in this process? </w:t>
      </w:r>
    </w:p>
    <w:p w:rsidR="00AB72FA" w:rsidRPr="00AB72FA" w:rsidRDefault="00AB72FA" w:rsidP="00AB72FA">
      <w:pPr>
        <w:spacing w:after="240"/>
        <w:rPr>
          <w:color w:val="000000"/>
        </w:rPr>
      </w:pPr>
      <w:r>
        <w:t xml:space="preserve">At the </w:t>
      </w:r>
      <w:r w:rsidRPr="00AB72FA">
        <w:rPr>
          <w:color w:val="000000"/>
        </w:rPr>
        <w:t xml:space="preserve">university level, we communicate with students through such materials as the catalog, brochures, our webpages, online degree plans, </w:t>
      </w:r>
      <w:proofErr w:type="gramStart"/>
      <w:r w:rsidRPr="00AB72FA">
        <w:rPr>
          <w:color w:val="000000"/>
        </w:rPr>
        <w:t>syllabi</w:t>
      </w:r>
      <w:proofErr w:type="gramEnd"/>
      <w:r w:rsidRPr="00AB72FA">
        <w:rPr>
          <w:color w:val="000000"/>
        </w:rPr>
        <w:t xml:space="preserve"> for classes. At the program level, the advising relationship is essential for communicating expectations and objectives. </w:t>
      </w:r>
    </w:p>
    <w:p w:rsidR="00AB72FA" w:rsidRPr="00AB72FA" w:rsidRDefault="00AB72FA" w:rsidP="00AB72FA">
      <w:pPr>
        <w:spacing w:after="240"/>
        <w:rPr>
          <w:color w:val="000000"/>
        </w:rPr>
      </w:pPr>
      <w:proofErr w:type="gramStart"/>
      <w:r w:rsidRPr="00AB72FA">
        <w:rPr>
          <w:color w:val="000000"/>
        </w:rPr>
        <w:t>Admissions, student support, and registration services aid in the process by publishing revisions to the catalog and degree plans and by conferring with faculty.</w:t>
      </w:r>
      <w:proofErr w:type="gramEnd"/>
      <w:r w:rsidRPr="00AB72FA">
        <w:rPr>
          <w:color w:val="000000"/>
        </w:rPr>
        <w:t xml:space="preserve">  Representatives from the Registrar and the Library attend Curriculum and Instruction and Graduate Council meetings to remain up to date on program and course changes.</w:t>
      </w:r>
    </w:p>
    <w:p w:rsidR="00497347" w:rsidRPr="00497347" w:rsidRDefault="00497347" w:rsidP="00497347">
      <w:pPr>
        <w:spacing w:after="240"/>
        <w:rPr>
          <w:color w:val="000000"/>
        </w:rPr>
      </w:pPr>
      <w:r w:rsidRPr="00497347">
        <w:rPr>
          <w:color w:val="000000"/>
        </w:rPr>
        <w:t>Information on</w:t>
      </w:r>
      <w:r w:rsidR="00D41311">
        <w:rPr>
          <w:color w:val="000000"/>
        </w:rPr>
        <w:t xml:space="preserve"> all </w:t>
      </w:r>
      <w:r w:rsidR="00F5146A">
        <w:rPr>
          <w:color w:val="000000"/>
        </w:rPr>
        <w:t>College</w:t>
      </w:r>
      <w:r w:rsidR="00D41311">
        <w:rPr>
          <w:color w:val="000000"/>
        </w:rPr>
        <w:t xml:space="preserve"> of Education P</w:t>
      </w:r>
      <w:r w:rsidRPr="00497347">
        <w:rPr>
          <w:color w:val="000000"/>
        </w:rPr>
        <w:t xml:space="preserve">rograms are published within the University Catalog, online through the </w:t>
      </w:r>
      <w:r w:rsidR="00F5146A">
        <w:rPr>
          <w:color w:val="000000"/>
        </w:rPr>
        <w:t>College</w:t>
      </w:r>
      <w:r w:rsidRPr="00497347">
        <w:rPr>
          <w:color w:val="000000"/>
        </w:rPr>
        <w:t xml:space="preserve"> of Education website, degree plans, and in the application packets which are provided to students taking </w:t>
      </w:r>
      <w:r w:rsidR="005608B0">
        <w:rPr>
          <w:color w:val="000000"/>
        </w:rPr>
        <w:t>an</w:t>
      </w:r>
      <w:r w:rsidRPr="00497347">
        <w:rPr>
          <w:color w:val="000000"/>
        </w:rPr>
        <w:t xml:space="preserve"> introduct</w:t>
      </w:r>
      <w:r w:rsidR="00256C8C">
        <w:rPr>
          <w:color w:val="000000"/>
        </w:rPr>
        <w:t xml:space="preserve">ory </w:t>
      </w:r>
      <w:r w:rsidR="005608B0">
        <w:rPr>
          <w:color w:val="000000"/>
        </w:rPr>
        <w:t>course</w:t>
      </w:r>
      <w:r w:rsidR="00356835">
        <w:rPr>
          <w:color w:val="000000"/>
        </w:rPr>
        <w:t xml:space="preserve">. Additionally, information is provided directly to students through advisors both within the </w:t>
      </w:r>
      <w:r w:rsidR="00F5146A">
        <w:rPr>
          <w:color w:val="000000"/>
        </w:rPr>
        <w:t>College</w:t>
      </w:r>
      <w:r w:rsidR="00356835">
        <w:rPr>
          <w:color w:val="000000"/>
        </w:rPr>
        <w:t xml:space="preserve"> of Education and by the Academic Support Center.</w:t>
      </w:r>
    </w:p>
    <w:p w:rsidR="00497347" w:rsidRPr="00497347" w:rsidRDefault="00497347" w:rsidP="00CD1659">
      <w:pPr>
        <w:pStyle w:val="ListParagraph"/>
        <w:numPr>
          <w:ilvl w:val="0"/>
          <w:numId w:val="1"/>
        </w:numPr>
        <w:spacing w:after="240"/>
        <w:ind w:left="360"/>
        <w:rPr>
          <w:b/>
          <w:bCs/>
          <w:color w:val="000000"/>
        </w:rPr>
      </w:pPr>
      <w:r w:rsidRPr="00497347">
        <w:rPr>
          <w:b/>
          <w:bCs/>
          <w:color w:val="000000"/>
        </w:rPr>
        <w:t xml:space="preserve">How do you help students select programs of study that match their needs, interests, and abilities? </w:t>
      </w:r>
    </w:p>
    <w:p w:rsidR="00497347" w:rsidRPr="00497347" w:rsidRDefault="00497347" w:rsidP="00497347">
      <w:pPr>
        <w:spacing w:after="240"/>
        <w:rPr>
          <w:color w:val="000000"/>
        </w:rPr>
      </w:pPr>
      <w:r w:rsidRPr="00497347">
        <w:rPr>
          <w:color w:val="000000"/>
        </w:rPr>
        <w:t xml:space="preserve">Students interested in pursuing a </w:t>
      </w:r>
      <w:r w:rsidR="005608B0">
        <w:rPr>
          <w:color w:val="000000"/>
        </w:rPr>
        <w:t>degree</w:t>
      </w:r>
      <w:r w:rsidRPr="00497347">
        <w:rPr>
          <w:color w:val="000000"/>
        </w:rPr>
        <w:t xml:space="preserve"> in Education</w:t>
      </w:r>
      <w:r w:rsidR="005608B0">
        <w:rPr>
          <w:color w:val="000000"/>
        </w:rPr>
        <w:t>al Leadership</w:t>
      </w:r>
      <w:r w:rsidRPr="00497347">
        <w:rPr>
          <w:color w:val="000000"/>
        </w:rPr>
        <w:t xml:space="preserve"> are referred to the </w:t>
      </w:r>
      <w:r w:rsidR="00F5146A">
        <w:rPr>
          <w:color w:val="000000"/>
        </w:rPr>
        <w:t>College</w:t>
      </w:r>
      <w:r w:rsidRPr="00497347">
        <w:rPr>
          <w:color w:val="000000"/>
        </w:rPr>
        <w:t xml:space="preserve"> of Education by </w:t>
      </w:r>
      <w:r w:rsidR="00D95AAB">
        <w:rPr>
          <w:color w:val="000000"/>
        </w:rPr>
        <w:t>Admissions</w:t>
      </w:r>
      <w:r w:rsidR="005608B0">
        <w:rPr>
          <w:color w:val="000000"/>
        </w:rPr>
        <w:t xml:space="preserve">. </w:t>
      </w:r>
      <w:r w:rsidRPr="00497347">
        <w:rPr>
          <w:color w:val="000000"/>
        </w:rPr>
        <w:t>Advising is conducted on a semester basis.</w:t>
      </w:r>
      <w:r w:rsidR="00D41311">
        <w:rPr>
          <w:color w:val="000000"/>
        </w:rPr>
        <w:t xml:space="preserve"> A</w:t>
      </w:r>
      <w:r w:rsidRPr="00497347">
        <w:rPr>
          <w:color w:val="000000"/>
        </w:rPr>
        <w:t>t three points in their degree program</w:t>
      </w:r>
      <w:r w:rsidR="00D41311">
        <w:rPr>
          <w:color w:val="000000"/>
        </w:rPr>
        <w:t>,</w:t>
      </w:r>
      <w:r w:rsidRPr="00497347">
        <w:rPr>
          <w:color w:val="000000"/>
        </w:rPr>
        <w:t xml:space="preserve"> students and faculty complete Professional Behaviors and Dispositions Assessment</w:t>
      </w:r>
      <w:r>
        <w:rPr>
          <w:color w:val="000000"/>
        </w:rPr>
        <w:t>s</w:t>
      </w:r>
      <w:r w:rsidRPr="00497347">
        <w:rPr>
          <w:color w:val="000000"/>
        </w:rPr>
        <w:t xml:space="preserve"> on students - again helping students to clarify their </w:t>
      </w:r>
      <w:r w:rsidR="005608B0">
        <w:rPr>
          <w:color w:val="000000"/>
        </w:rPr>
        <w:t>ability to be an educational leader</w:t>
      </w:r>
      <w:r w:rsidRPr="00497347">
        <w:rPr>
          <w:color w:val="000000"/>
        </w:rPr>
        <w:t>.</w:t>
      </w:r>
    </w:p>
    <w:p w:rsidR="00890137" w:rsidRDefault="00634E95" w:rsidP="00634E95">
      <w:pPr>
        <w:pStyle w:val="ListParagraph"/>
        <w:numPr>
          <w:ilvl w:val="0"/>
          <w:numId w:val="1"/>
        </w:numPr>
        <w:spacing w:after="240"/>
        <w:ind w:left="360"/>
        <w:rPr>
          <w:b/>
          <w:bCs/>
          <w:color w:val="000000"/>
        </w:rPr>
      </w:pPr>
      <w:r>
        <w:rPr>
          <w:b/>
          <w:bCs/>
          <w:color w:val="000000"/>
        </w:rPr>
        <w:t>H</w:t>
      </w:r>
      <w:r w:rsidR="00497347" w:rsidRPr="00497347">
        <w:rPr>
          <w:b/>
          <w:bCs/>
          <w:color w:val="000000"/>
        </w:rPr>
        <w:t xml:space="preserve">ow do you deal with students who are underprepared for the academic programs and courses you offer? </w:t>
      </w:r>
    </w:p>
    <w:p w:rsidR="00AB72FA" w:rsidRDefault="00AB72FA" w:rsidP="00AB72FA">
      <w:pPr>
        <w:spacing w:after="240"/>
      </w:pPr>
      <w:r>
        <w:t>At the university level,</w:t>
      </w:r>
      <w:r w:rsidR="005608B0">
        <w:t xml:space="preserve"> tutoring services are offered on campus, in the writing center, and </w:t>
      </w:r>
      <w:r w:rsidR="00D95AAB">
        <w:t xml:space="preserve">through </w:t>
      </w:r>
      <w:proofErr w:type="spellStart"/>
      <w:r w:rsidR="00D95AAB">
        <w:t>Smarthinking</w:t>
      </w:r>
      <w:proofErr w:type="spellEnd"/>
      <w:r w:rsidR="00D95AAB">
        <w:t xml:space="preserve"> </w:t>
      </w:r>
      <w:proofErr w:type="spellStart"/>
      <w:r w:rsidR="00D95AAB">
        <w:t>etutoring</w:t>
      </w:r>
      <w:proofErr w:type="spellEnd"/>
      <w:r w:rsidR="005608B0">
        <w:t xml:space="preserve">. Students are referred to these resources or are given individual support based upon their needs. </w:t>
      </w:r>
    </w:p>
    <w:p w:rsidR="00497347" w:rsidRPr="00497347" w:rsidRDefault="00AB72FA" w:rsidP="00497347">
      <w:pPr>
        <w:spacing w:after="240"/>
        <w:rPr>
          <w:color w:val="000000"/>
        </w:rPr>
      </w:pPr>
      <w:r>
        <w:rPr>
          <w:color w:val="000000"/>
        </w:rPr>
        <w:t>In the College of Education, u</w:t>
      </w:r>
      <w:r w:rsidR="00497347" w:rsidRPr="00497347">
        <w:rPr>
          <w:color w:val="000000"/>
        </w:rPr>
        <w:t xml:space="preserve">nderprepared students are identified early in the program either through the advising process, admission process to the </w:t>
      </w:r>
      <w:r w:rsidR="00F5146A">
        <w:rPr>
          <w:color w:val="000000"/>
        </w:rPr>
        <w:t>College</w:t>
      </w:r>
      <w:r w:rsidR="00497347" w:rsidRPr="00497347">
        <w:rPr>
          <w:color w:val="000000"/>
        </w:rPr>
        <w:t xml:space="preserve"> of Education,</w:t>
      </w:r>
      <w:r w:rsidR="00F9310E">
        <w:rPr>
          <w:color w:val="000000"/>
        </w:rPr>
        <w:t xml:space="preserve"> </w:t>
      </w:r>
      <w:r w:rsidR="005608B0">
        <w:rPr>
          <w:color w:val="000000"/>
        </w:rPr>
        <w:t>Professional Education</w:t>
      </w:r>
      <w:r w:rsidR="00F9310E">
        <w:rPr>
          <w:color w:val="000000"/>
        </w:rPr>
        <w:t xml:space="preserve"> Committee (</w:t>
      </w:r>
      <w:r w:rsidR="005608B0">
        <w:rPr>
          <w:color w:val="000000"/>
        </w:rPr>
        <w:t>PEC</w:t>
      </w:r>
      <w:r w:rsidR="00256C8C">
        <w:rPr>
          <w:color w:val="000000"/>
        </w:rPr>
        <w:t xml:space="preserve">), or WNMU Gallup </w:t>
      </w:r>
      <w:r w:rsidR="005608B0">
        <w:rPr>
          <w:color w:val="000000"/>
        </w:rPr>
        <w:t>C</w:t>
      </w:r>
      <w:r w:rsidR="00256C8C">
        <w:rPr>
          <w:color w:val="000000"/>
        </w:rPr>
        <w:t>OE meeting,</w:t>
      </w:r>
      <w:r w:rsidR="00497347" w:rsidRPr="00497347">
        <w:rPr>
          <w:color w:val="000000"/>
        </w:rPr>
        <w:t xml:space="preserve"> or through the Professional Behaviors and Dispositions Assessment. Students are supported through the advising process and if necessary </w:t>
      </w:r>
      <w:r w:rsidR="00F9310E">
        <w:rPr>
          <w:color w:val="000000"/>
        </w:rPr>
        <w:t>a</w:t>
      </w:r>
      <w:r w:rsidR="00497347" w:rsidRPr="00497347">
        <w:rPr>
          <w:color w:val="000000"/>
        </w:rPr>
        <w:t xml:space="preserve"> plan of assistance is created and an individual faculty member </w:t>
      </w:r>
      <w:r w:rsidR="00F9310E">
        <w:rPr>
          <w:color w:val="000000"/>
        </w:rPr>
        <w:t>will</w:t>
      </w:r>
      <w:r w:rsidR="00497347" w:rsidRPr="00497347">
        <w:rPr>
          <w:color w:val="000000"/>
        </w:rPr>
        <w:t xml:space="preserve"> work with a student to address concerns. </w:t>
      </w:r>
      <w:r w:rsidR="005608B0">
        <w:t>Writing classes have been offered to support those students who do not have adequate writing skills to be successful at the graduate level</w:t>
      </w:r>
      <w:r w:rsidR="005608B0">
        <w:rPr>
          <w:color w:val="000000"/>
        </w:rPr>
        <w:t xml:space="preserve">. </w:t>
      </w:r>
      <w:r w:rsidR="00356835">
        <w:rPr>
          <w:color w:val="000000"/>
        </w:rPr>
        <w:t>Students are also referred to the Writing Center and other support services available on campus.</w:t>
      </w:r>
    </w:p>
    <w:p w:rsidR="00497347" w:rsidRPr="00497347" w:rsidRDefault="00497347" w:rsidP="00CD1659">
      <w:pPr>
        <w:pStyle w:val="ListParagraph"/>
        <w:numPr>
          <w:ilvl w:val="0"/>
          <w:numId w:val="1"/>
        </w:numPr>
        <w:spacing w:after="240"/>
        <w:ind w:left="360"/>
        <w:rPr>
          <w:b/>
          <w:bCs/>
          <w:color w:val="000000"/>
        </w:rPr>
      </w:pPr>
      <w:r w:rsidRPr="00497347">
        <w:rPr>
          <w:b/>
          <w:bCs/>
          <w:color w:val="000000"/>
        </w:rPr>
        <w:t xml:space="preserve">How do you detect and address differences in students’ learning styles? </w:t>
      </w:r>
    </w:p>
    <w:p w:rsidR="00497347" w:rsidRPr="00497347" w:rsidRDefault="00AB72FA" w:rsidP="00497347">
      <w:pPr>
        <w:spacing w:after="240"/>
        <w:rPr>
          <w:color w:val="000000"/>
        </w:rPr>
      </w:pPr>
      <w:r>
        <w:rPr>
          <w:color w:val="000000"/>
        </w:rPr>
        <w:t>In the College of Education, a</w:t>
      </w:r>
      <w:r w:rsidR="00497347" w:rsidRPr="00497347">
        <w:rPr>
          <w:color w:val="000000"/>
        </w:rPr>
        <w:t xml:space="preserve"> variety of techniques are utilized to assess student learning styles. Some faculty utilize formal assessments</w:t>
      </w:r>
      <w:r w:rsidR="00356835">
        <w:rPr>
          <w:color w:val="000000"/>
        </w:rPr>
        <w:t>, such as the Multiple Intelligence Diagnostic Assessment</w:t>
      </w:r>
      <w:r w:rsidR="00497347" w:rsidRPr="00497347">
        <w:rPr>
          <w:color w:val="000000"/>
        </w:rPr>
        <w:t xml:space="preserve">, </w:t>
      </w:r>
      <w:r w:rsidR="00C4443D">
        <w:rPr>
          <w:color w:val="000000"/>
        </w:rPr>
        <w:t xml:space="preserve">still </w:t>
      </w:r>
      <w:r w:rsidR="00497347" w:rsidRPr="00497347">
        <w:rPr>
          <w:color w:val="000000"/>
        </w:rPr>
        <w:t xml:space="preserve">others conduct pre-assessment activities within their individual classes. Many </w:t>
      </w:r>
      <w:proofErr w:type="gramStart"/>
      <w:r w:rsidR="00497347" w:rsidRPr="00497347">
        <w:rPr>
          <w:color w:val="000000"/>
        </w:rPr>
        <w:t>faculty</w:t>
      </w:r>
      <w:proofErr w:type="gramEnd"/>
      <w:r w:rsidR="00497347" w:rsidRPr="00497347">
        <w:rPr>
          <w:color w:val="000000"/>
        </w:rPr>
        <w:t xml:space="preserve"> rely on their person</w:t>
      </w:r>
      <w:r w:rsidR="00356835">
        <w:rPr>
          <w:color w:val="000000"/>
        </w:rPr>
        <w:t>al</w:t>
      </w:r>
      <w:r w:rsidR="00497347" w:rsidRPr="00497347">
        <w:rPr>
          <w:color w:val="000000"/>
        </w:rPr>
        <w:t xml:space="preserve"> conversations with students. To address these differences</w:t>
      </w:r>
      <w:r w:rsidR="00356835">
        <w:rPr>
          <w:color w:val="000000"/>
        </w:rPr>
        <w:t>,</w:t>
      </w:r>
      <w:r w:rsidR="00497347" w:rsidRPr="00497347">
        <w:rPr>
          <w:color w:val="000000"/>
        </w:rPr>
        <w:t xml:space="preserve"> instruction is provided using multiple learning styles, varying among the learning activities and instructional methods used within an individual class. Accommodations are made as appropriate and students are exposed to a variety of learning styles and learning opportunities which reflect those learning styles.</w:t>
      </w:r>
    </w:p>
    <w:p w:rsidR="00497347" w:rsidRPr="00497347" w:rsidRDefault="00497347" w:rsidP="00CD1659">
      <w:pPr>
        <w:pStyle w:val="ListParagraph"/>
        <w:numPr>
          <w:ilvl w:val="0"/>
          <w:numId w:val="1"/>
        </w:numPr>
        <w:spacing w:after="240"/>
        <w:ind w:left="360"/>
        <w:rPr>
          <w:b/>
          <w:bCs/>
          <w:color w:val="000000"/>
        </w:rPr>
      </w:pPr>
      <w:r w:rsidRPr="00497347">
        <w:rPr>
          <w:b/>
          <w:bCs/>
          <w:color w:val="000000"/>
        </w:rPr>
        <w:t xml:space="preserve">How do you address the special needs of student subgroups (e.g. handicapped students, seniors, commuters)? </w:t>
      </w:r>
    </w:p>
    <w:p w:rsidR="00AB72FA" w:rsidRDefault="00AB72FA" w:rsidP="00497347">
      <w:pPr>
        <w:spacing w:after="240"/>
      </w:pPr>
      <w:r>
        <w:t>This is a university-level issue, addressed by Disability Services, scheduling of access to resources such as the library, computing labs, and the Writing Center.  For online students, access to online or phone-based resources such as the computer HELP desk and Writing Center is essential. When student needs are addressed, requests are made to appropriate units on campus to assist in helping students. The primary advocate for online programs is the staff in Extended University which oversees our Virtual Campus (online programs). Particular focus has been given to the scheduling of classes and course rotations to support the progress of all students. Efforts are currently underway to make our web-based services comply with ADA federal regulations.</w:t>
      </w:r>
    </w:p>
    <w:p w:rsidR="00497347" w:rsidRPr="00497347" w:rsidRDefault="00AB72FA" w:rsidP="00497347">
      <w:pPr>
        <w:spacing w:after="240"/>
        <w:rPr>
          <w:color w:val="000000"/>
        </w:rPr>
      </w:pPr>
      <w:r>
        <w:rPr>
          <w:color w:val="000000"/>
        </w:rPr>
        <w:t>In the College of Education, a</w:t>
      </w:r>
      <w:r w:rsidR="00497347" w:rsidRPr="00497347">
        <w:rPr>
          <w:color w:val="000000"/>
        </w:rPr>
        <w:t xml:space="preserve">ccommodations are made based upon the needs of the individual students. Faculty will provide additional instruction, time, or other accommodation as </w:t>
      </w:r>
      <w:r w:rsidR="00F9310E">
        <w:rPr>
          <w:color w:val="000000"/>
        </w:rPr>
        <w:t>identified by the office of Disability Services</w:t>
      </w:r>
      <w:r w:rsidR="00497347" w:rsidRPr="00497347">
        <w:rPr>
          <w:color w:val="000000"/>
        </w:rPr>
        <w:t>. We work to teach all students - so individual needs are taken into consideration when at all possible following the university guidelines.</w:t>
      </w:r>
      <w:r w:rsidR="00356835">
        <w:rPr>
          <w:color w:val="000000"/>
        </w:rPr>
        <w:t xml:space="preserve"> Instruction is also provided using multiple forms of delivery, including: face-to-face, online (synchronous and asynchronous),</w:t>
      </w:r>
      <w:r w:rsidR="009B5FE0">
        <w:rPr>
          <w:color w:val="000000"/>
        </w:rPr>
        <w:t xml:space="preserve"> web-enhanced,</w:t>
      </w:r>
      <w:r w:rsidR="00356835">
        <w:rPr>
          <w:color w:val="000000"/>
        </w:rPr>
        <w:t xml:space="preserve"> ITV, and lecture capture.</w:t>
      </w:r>
    </w:p>
    <w:p w:rsidR="00497347" w:rsidRPr="00497347" w:rsidRDefault="00497347" w:rsidP="00CD1659">
      <w:pPr>
        <w:pStyle w:val="ListParagraph"/>
        <w:numPr>
          <w:ilvl w:val="0"/>
          <w:numId w:val="1"/>
        </w:numPr>
        <w:spacing w:after="240"/>
        <w:ind w:left="360"/>
        <w:rPr>
          <w:b/>
          <w:bCs/>
          <w:color w:val="000000"/>
        </w:rPr>
      </w:pPr>
      <w:r w:rsidRPr="00497347">
        <w:rPr>
          <w:b/>
          <w:bCs/>
          <w:color w:val="000000"/>
        </w:rPr>
        <w:t xml:space="preserve">How do you define, document, and communicate across your organization your expectations for effective teaching and learning? </w:t>
      </w:r>
    </w:p>
    <w:p w:rsidR="00AB72FA" w:rsidRDefault="00AB72FA" w:rsidP="00AB72FA">
      <w:pPr>
        <w:spacing w:after="240"/>
      </w:pPr>
      <w:r>
        <w:t xml:space="preserve">Regarding teaching… At the university level, we have an annual review (MBO) process by which faculty document their performance and are evaluated. Chairs review student evaluations with faculty and discuss ways to continually improve.  Expectations for promotion and tenure are defined and described by the VPAA, and appropriate workshops offered throughout the academic year. We also have requirements for course evaluation administration. Professional development courses are offered by </w:t>
      </w:r>
      <w:r w:rsidR="00D95AAB">
        <w:t>the University</w:t>
      </w:r>
      <w:r>
        <w:t xml:space="preserve"> faculty developer</w:t>
      </w:r>
      <w:r w:rsidR="00D95AAB">
        <w:t xml:space="preserve"> to aid faculty in developing online courses</w:t>
      </w:r>
      <w:r>
        <w:t xml:space="preserve">.  </w:t>
      </w:r>
      <w:r w:rsidRPr="00AB72FA">
        <w:t>In departments, faculty members define and communicate expectations through meetings in which they discuss the program.</w:t>
      </w:r>
    </w:p>
    <w:p w:rsidR="00AB72FA" w:rsidRDefault="00AB72FA" w:rsidP="00AB72FA">
      <w:pPr>
        <w:spacing w:after="240"/>
      </w:pPr>
      <w:r>
        <w:t xml:space="preserve">Regarding learning… There is a standard syllabus format that includes learning objectives, grading criteria and other expectations of students. </w:t>
      </w:r>
    </w:p>
    <w:p w:rsidR="00497347" w:rsidRPr="00AB72FA" w:rsidRDefault="00497347" w:rsidP="00AB72FA">
      <w:pPr>
        <w:spacing w:after="240"/>
        <w:rPr>
          <w:color w:val="000000"/>
        </w:rPr>
      </w:pPr>
      <w:r w:rsidRPr="00AB72FA">
        <w:t xml:space="preserve">The </w:t>
      </w:r>
      <w:r w:rsidR="00F5146A" w:rsidRPr="00AB72FA">
        <w:t>College</w:t>
      </w:r>
      <w:r w:rsidRPr="00AB72FA">
        <w:t xml:space="preserve"> of Education has an active, in-depth MBO process requiring faculty to identify specific goals toward the support of effective teaching and learning</w:t>
      </w:r>
      <w:r w:rsidR="00F9310E" w:rsidRPr="00AB72FA">
        <w:t xml:space="preserve">, which align with the </w:t>
      </w:r>
      <w:r w:rsidR="00D95AAB">
        <w:t>C</w:t>
      </w:r>
      <w:r w:rsidR="00F9310E" w:rsidRPr="00AB72FA">
        <w:t>OE Faculty Strategic Priorities.</w:t>
      </w:r>
      <w:r w:rsidRPr="00AB72FA">
        <w:t xml:space="preserve"> Professional development opportunities are provided for all faculty members</w:t>
      </w:r>
      <w:r w:rsidR="008655DA" w:rsidRPr="00AB72FA">
        <w:t>,</w:t>
      </w:r>
      <w:r w:rsidRPr="00AB72FA">
        <w:t xml:space="preserve"> which focus on effective teaching and learning. The culture of assessment that has been fostered within the </w:t>
      </w:r>
      <w:r w:rsidR="00F5146A" w:rsidRPr="00AB72FA">
        <w:t>College</w:t>
      </w:r>
      <w:r w:rsidRPr="00AB72FA">
        <w:t xml:space="preserve"> of Education is probably our strongest tool for defining, document</w:t>
      </w:r>
      <w:r w:rsidR="00D41311" w:rsidRPr="00AB72FA">
        <w:t>ing</w:t>
      </w:r>
      <w:r w:rsidRPr="00AB72FA">
        <w:t>, and communicating expectations</w:t>
      </w:r>
      <w:r w:rsidRPr="00AB72FA">
        <w:rPr>
          <w:color w:val="000000"/>
        </w:rPr>
        <w:t xml:space="preserve"> for effective teaching and learning. </w:t>
      </w:r>
      <w:proofErr w:type="gramStart"/>
      <w:r w:rsidRPr="00AB72FA">
        <w:rPr>
          <w:color w:val="000000"/>
        </w:rPr>
        <w:t>Faculty gather</w:t>
      </w:r>
      <w:proofErr w:type="gramEnd"/>
      <w:r w:rsidRPr="00AB72FA">
        <w:rPr>
          <w:color w:val="000000"/>
        </w:rPr>
        <w:t xml:space="preserve"> monitoring data on student learning at three points in a student's program: entry, midpoint, and exit. These data are reviewed and analyzed annually: reports on entry data are due in January, midpoint data reports are due in May, and exit data reports are due in August. </w:t>
      </w:r>
      <w:r w:rsidR="00F9310E" w:rsidRPr="00AB72FA">
        <w:rPr>
          <w:color w:val="000000"/>
        </w:rPr>
        <w:t xml:space="preserve">Additional data </w:t>
      </w:r>
      <w:r w:rsidR="00516639" w:rsidRPr="00AB72FA">
        <w:rPr>
          <w:color w:val="000000"/>
        </w:rPr>
        <w:t>are</w:t>
      </w:r>
      <w:r w:rsidR="00F9310E" w:rsidRPr="00AB72FA">
        <w:rPr>
          <w:color w:val="000000"/>
        </w:rPr>
        <w:t xml:space="preserve"> also reviewed from EBI surveys, graduate surveys, employer surveys, and course evaluations. </w:t>
      </w:r>
      <w:r w:rsidRPr="00AB72FA">
        <w:rPr>
          <w:color w:val="000000"/>
        </w:rPr>
        <w:t xml:space="preserve">The </w:t>
      </w:r>
      <w:proofErr w:type="gramStart"/>
      <w:r w:rsidRPr="00AB72FA">
        <w:rPr>
          <w:color w:val="000000"/>
        </w:rPr>
        <w:t>process of reviewing the data and analyzing student learning has helped faculty</w:t>
      </w:r>
      <w:r w:rsidR="00F9310E" w:rsidRPr="00AB72FA">
        <w:rPr>
          <w:color w:val="000000"/>
        </w:rPr>
        <w:t xml:space="preserve"> </w:t>
      </w:r>
      <w:r w:rsidRPr="00AB72FA">
        <w:rPr>
          <w:color w:val="000000"/>
        </w:rPr>
        <w:t>identify instructional issues and improve</w:t>
      </w:r>
      <w:proofErr w:type="gramEnd"/>
      <w:r w:rsidRPr="00AB72FA">
        <w:rPr>
          <w:color w:val="000000"/>
        </w:rPr>
        <w:t xml:space="preserve"> the quality of teaching received by students</w:t>
      </w:r>
      <w:r w:rsidR="00516639" w:rsidRPr="00AB72FA">
        <w:rPr>
          <w:color w:val="000000"/>
        </w:rPr>
        <w:t>, and supporting changes to individual courses and programs</w:t>
      </w:r>
      <w:r w:rsidRPr="00AB72FA">
        <w:rPr>
          <w:color w:val="000000"/>
        </w:rPr>
        <w:t>.</w:t>
      </w:r>
      <w:r w:rsidR="00356835" w:rsidRPr="00AB72FA">
        <w:rPr>
          <w:color w:val="000000"/>
        </w:rPr>
        <w:t xml:space="preserve"> This process is supported by our tri-annual data retreats. Communication is also facilitated through the handbooks created for each program.</w:t>
      </w:r>
    </w:p>
    <w:p w:rsidR="00497347" w:rsidRPr="00497347" w:rsidRDefault="00497347" w:rsidP="00CD1659">
      <w:pPr>
        <w:pStyle w:val="ListParagraph"/>
        <w:numPr>
          <w:ilvl w:val="0"/>
          <w:numId w:val="1"/>
        </w:numPr>
        <w:spacing w:after="240"/>
        <w:ind w:left="360"/>
        <w:rPr>
          <w:b/>
          <w:bCs/>
          <w:color w:val="000000"/>
        </w:rPr>
      </w:pPr>
      <w:r w:rsidRPr="00497347">
        <w:rPr>
          <w:b/>
          <w:bCs/>
          <w:color w:val="000000"/>
        </w:rPr>
        <w:t xml:space="preserve">How do you build an effective and efficient course delivery system that addresses both students’ needs and your organization’s requirements? </w:t>
      </w:r>
    </w:p>
    <w:p w:rsidR="00AB72FA" w:rsidRDefault="00AB72FA" w:rsidP="00AB72FA">
      <w:pPr>
        <w:spacing w:after="240"/>
      </w:pPr>
      <w:r>
        <w:t xml:space="preserve">At the </w:t>
      </w:r>
      <w:r w:rsidRPr="00AB72FA">
        <w:t>university level, administrators, dean, and chairs listen to the feedback from stakeholders in the communities we serve and review course evaluations to ensure we are offering courses at the times and frequencies that are needed. The various units in the institution that oversee course delivery in the modalities of videoconferencing, online, face to face, and hybrid meet once a semester to coordinate schedules and negotiate use of scarce resources.  Academic Affairs and Student Affairs staff meet weekly during enrollment times—especially in the summer to monitor class sizes and create new class sections when needed.</w:t>
      </w:r>
    </w:p>
    <w:p w:rsidR="00634E95" w:rsidRPr="00AB72FA" w:rsidRDefault="00AB72FA" w:rsidP="00AB72FA">
      <w:pPr>
        <w:spacing w:after="240"/>
        <w:rPr>
          <w:color w:val="000000"/>
        </w:rPr>
      </w:pPr>
      <w:r>
        <w:t>In the College of Education, c</w:t>
      </w:r>
      <w:r w:rsidR="00497347" w:rsidRPr="00AB72FA">
        <w:t>ourse rotations</w:t>
      </w:r>
      <w:r w:rsidR="00516639" w:rsidRPr="00AB72FA">
        <w:rPr>
          <w:color w:val="000000"/>
        </w:rPr>
        <w:t xml:space="preserve"> and schedules</w:t>
      </w:r>
      <w:r w:rsidR="00497347" w:rsidRPr="00AB72FA">
        <w:rPr>
          <w:color w:val="000000"/>
        </w:rPr>
        <w:t xml:space="preserve"> are based upon student need, as determined by student file audits conducted by faculty annually. Courses are offered online</w:t>
      </w:r>
      <w:r w:rsidR="00356835" w:rsidRPr="00AB72FA">
        <w:rPr>
          <w:color w:val="000000"/>
        </w:rPr>
        <w:t xml:space="preserve"> (asynchronous and synchronous), face-to face, lecture capture</w:t>
      </w:r>
      <w:r w:rsidR="00497347" w:rsidRPr="00AB72FA">
        <w:rPr>
          <w:color w:val="000000"/>
        </w:rPr>
        <w:t xml:space="preserve"> or </w:t>
      </w:r>
      <w:r w:rsidR="0045725D" w:rsidRPr="00AB72FA">
        <w:rPr>
          <w:color w:val="000000"/>
        </w:rPr>
        <w:t xml:space="preserve">via </w:t>
      </w:r>
      <w:r w:rsidR="00497347" w:rsidRPr="00AB72FA">
        <w:rPr>
          <w:color w:val="000000"/>
        </w:rPr>
        <w:t xml:space="preserve">ITV based upon the needs of distance education students. Many students completing coursework within the </w:t>
      </w:r>
      <w:r w:rsidR="00F5146A" w:rsidRPr="00AB72FA">
        <w:rPr>
          <w:color w:val="000000"/>
        </w:rPr>
        <w:t>College</w:t>
      </w:r>
      <w:r w:rsidR="00497347" w:rsidRPr="00AB72FA">
        <w:rPr>
          <w:color w:val="000000"/>
        </w:rPr>
        <w:t xml:space="preserve"> of Education are currently working within the school system, so most courses are offered in three hour blocks in the evening. Faculty meet over each course schedule to make sure that courses are scheduled so that they do not conflict with other courses. </w:t>
      </w:r>
    </w:p>
    <w:p w:rsidR="00497347" w:rsidRPr="00634E95" w:rsidRDefault="00497347" w:rsidP="00634E95">
      <w:pPr>
        <w:pStyle w:val="ListParagraph"/>
        <w:numPr>
          <w:ilvl w:val="0"/>
          <w:numId w:val="1"/>
        </w:numPr>
        <w:spacing w:after="240"/>
        <w:ind w:left="360"/>
        <w:rPr>
          <w:b/>
          <w:bCs/>
          <w:color w:val="000000"/>
        </w:rPr>
      </w:pPr>
      <w:r w:rsidRPr="00634E95">
        <w:rPr>
          <w:b/>
          <w:bCs/>
          <w:color w:val="000000"/>
        </w:rPr>
        <w:t xml:space="preserve">How do you ensure that your programs and courses are up-to-date and effective? </w:t>
      </w:r>
    </w:p>
    <w:p w:rsidR="00AB72FA" w:rsidRPr="00AB72FA" w:rsidRDefault="00AB72FA" w:rsidP="00AB72FA">
      <w:pPr>
        <w:spacing w:after="240"/>
        <w:rPr>
          <w:color w:val="000000"/>
        </w:rPr>
      </w:pPr>
      <w:r w:rsidRPr="00AB72FA">
        <w:rPr>
          <w:color w:val="000000"/>
        </w:rPr>
        <w:t xml:space="preserve">At the university level, the program review cycle asks departments to evaluate the currency and effectiveness of classes using data on enrollment, student learning outcomes, and region wide demand.  There is a three year review cycle for assessment of student learning outcomes. The university maintains a five year degree plan for new degrees that is reviewed each semester by the </w:t>
      </w:r>
      <w:r w:rsidR="00D95AAB">
        <w:rPr>
          <w:color w:val="000000"/>
        </w:rPr>
        <w:t>Dean’s</w:t>
      </w:r>
      <w:r w:rsidRPr="00AB72FA">
        <w:rPr>
          <w:color w:val="000000"/>
        </w:rPr>
        <w:t xml:space="preserve"> Council and the Board of Regents.</w:t>
      </w:r>
    </w:p>
    <w:p w:rsidR="00497347" w:rsidRPr="00AB72FA" w:rsidRDefault="00F5146A" w:rsidP="00AB72FA">
      <w:pPr>
        <w:spacing w:after="240"/>
        <w:rPr>
          <w:color w:val="000000"/>
        </w:rPr>
      </w:pPr>
      <w:r w:rsidRPr="00AB72FA">
        <w:rPr>
          <w:color w:val="000000"/>
        </w:rPr>
        <w:t>College</w:t>
      </w:r>
      <w:r w:rsidR="00497347" w:rsidRPr="00AB72FA">
        <w:rPr>
          <w:color w:val="000000"/>
        </w:rPr>
        <w:t xml:space="preserve"> of Education </w:t>
      </w:r>
      <w:proofErr w:type="gramStart"/>
      <w:r w:rsidR="00497347" w:rsidRPr="00AB72FA">
        <w:rPr>
          <w:color w:val="000000"/>
        </w:rPr>
        <w:t>faculty meet</w:t>
      </w:r>
      <w:proofErr w:type="gramEnd"/>
      <w:r w:rsidR="00497347" w:rsidRPr="00AB72FA">
        <w:rPr>
          <w:color w:val="000000"/>
        </w:rPr>
        <w:t xml:space="preserve"> monthly to review student issues and discuss programs and course offerings</w:t>
      </w:r>
      <w:r w:rsidR="00D41311" w:rsidRPr="00AB72FA">
        <w:rPr>
          <w:color w:val="000000"/>
        </w:rPr>
        <w:t xml:space="preserve"> in the </w:t>
      </w:r>
      <w:r w:rsidR="00893351">
        <w:rPr>
          <w:color w:val="000000"/>
        </w:rPr>
        <w:t>Professional Education Committee (PEC)</w:t>
      </w:r>
      <w:r w:rsidR="0045725D" w:rsidRPr="00AB72FA">
        <w:rPr>
          <w:color w:val="000000"/>
        </w:rPr>
        <w:t xml:space="preserve"> or the WNMU-Gallup </w:t>
      </w:r>
      <w:r w:rsidR="00893351">
        <w:rPr>
          <w:color w:val="000000"/>
        </w:rPr>
        <w:t>C</w:t>
      </w:r>
      <w:r w:rsidR="0045725D" w:rsidRPr="00AB72FA">
        <w:rPr>
          <w:color w:val="000000"/>
        </w:rPr>
        <w:t>OE meeting</w:t>
      </w:r>
      <w:r w:rsidR="00497347" w:rsidRPr="00AB72FA">
        <w:rPr>
          <w:color w:val="000000"/>
        </w:rPr>
        <w:t xml:space="preserve">. </w:t>
      </w:r>
      <w:r w:rsidR="00516639" w:rsidRPr="00AB72FA">
        <w:rPr>
          <w:color w:val="000000"/>
        </w:rPr>
        <w:t xml:space="preserve">The Dean of the </w:t>
      </w:r>
      <w:r w:rsidRPr="00AB72FA">
        <w:rPr>
          <w:color w:val="000000"/>
        </w:rPr>
        <w:t>College</w:t>
      </w:r>
      <w:r w:rsidR="00516639" w:rsidRPr="00AB72FA">
        <w:rPr>
          <w:color w:val="000000"/>
        </w:rPr>
        <w:t xml:space="preserve"> of education reviews syllabi, checks that faculty are using current textbooks, and reviews online courses. </w:t>
      </w:r>
      <w:r w:rsidR="0045725D" w:rsidRPr="00AB72FA">
        <w:rPr>
          <w:color w:val="000000"/>
        </w:rPr>
        <w:t>I</w:t>
      </w:r>
      <w:r w:rsidR="00F9310E" w:rsidRPr="00AB72FA">
        <w:rPr>
          <w:color w:val="000000"/>
        </w:rPr>
        <w:t xml:space="preserve">nput is gathered from our public school partners </w:t>
      </w:r>
      <w:r w:rsidR="0045725D" w:rsidRPr="00AB72FA">
        <w:rPr>
          <w:color w:val="000000"/>
        </w:rPr>
        <w:t>and additional input is gathered through the state and national peer reviewed accreditation process.</w:t>
      </w:r>
      <w:r w:rsidR="00F9310E" w:rsidRPr="00AB72FA">
        <w:rPr>
          <w:color w:val="000000"/>
        </w:rPr>
        <w:t xml:space="preserve"> </w:t>
      </w:r>
      <w:r w:rsidR="00497347" w:rsidRPr="00AB72FA">
        <w:rPr>
          <w:color w:val="000000"/>
        </w:rPr>
        <w:t>Through the assessment process</w:t>
      </w:r>
      <w:r w:rsidR="0045725D" w:rsidRPr="00AB72FA">
        <w:rPr>
          <w:color w:val="000000"/>
        </w:rPr>
        <w:t xml:space="preserve">es implemented in the </w:t>
      </w:r>
      <w:r w:rsidRPr="00AB72FA">
        <w:rPr>
          <w:color w:val="000000"/>
        </w:rPr>
        <w:t>College</w:t>
      </w:r>
      <w:r w:rsidR="0045725D" w:rsidRPr="00AB72FA">
        <w:rPr>
          <w:color w:val="000000"/>
        </w:rPr>
        <w:t xml:space="preserve"> of Education</w:t>
      </w:r>
      <w:r w:rsidR="00497347" w:rsidRPr="00AB72FA">
        <w:rPr>
          <w:color w:val="000000"/>
        </w:rPr>
        <w:t xml:space="preserve"> and the reports completed on each set of monitoring data, faculty identify current needs and issues related to individual programs and student learning. Recommended changes are reviewed by the faculty as a whole. If a change is implemented - the outcome of that change is reviewed in the next assessment cycle to assure that the intended outcome was obtained</w:t>
      </w:r>
      <w:r w:rsidR="00893351">
        <w:rPr>
          <w:color w:val="000000"/>
        </w:rPr>
        <w:t>.</w:t>
      </w:r>
      <w:r w:rsidR="0045725D" w:rsidRPr="00AB72FA">
        <w:rPr>
          <w:color w:val="000000"/>
        </w:rPr>
        <w:t xml:space="preserve"> Additional changes are made based upon the </w:t>
      </w:r>
      <w:r w:rsidR="00D95AAB">
        <w:rPr>
          <w:color w:val="000000"/>
        </w:rPr>
        <w:t>results obtain at COE Data Retreats</w:t>
      </w:r>
      <w:r w:rsidR="0045725D" w:rsidRPr="00AB72FA">
        <w:rPr>
          <w:color w:val="000000"/>
        </w:rPr>
        <w:t xml:space="preserve"> and directives from the New Mexico Higher Education Department and the New Mexico Public Education Department.</w:t>
      </w:r>
    </w:p>
    <w:p w:rsidR="00497347" w:rsidRPr="00497347" w:rsidRDefault="00497347" w:rsidP="00CD1659">
      <w:pPr>
        <w:pStyle w:val="ListParagraph"/>
        <w:numPr>
          <w:ilvl w:val="0"/>
          <w:numId w:val="1"/>
        </w:numPr>
        <w:spacing w:after="240"/>
        <w:ind w:left="360"/>
        <w:rPr>
          <w:b/>
          <w:bCs/>
          <w:color w:val="000000"/>
        </w:rPr>
      </w:pPr>
      <w:r w:rsidRPr="00497347">
        <w:rPr>
          <w:b/>
          <w:bCs/>
          <w:color w:val="000000"/>
        </w:rPr>
        <w:t xml:space="preserve">How do you change or discontinue programs and courses? </w:t>
      </w:r>
    </w:p>
    <w:p w:rsidR="00AB72FA" w:rsidRPr="00AB72FA" w:rsidRDefault="00AB72FA" w:rsidP="00AB72FA">
      <w:pPr>
        <w:spacing w:after="240"/>
        <w:rPr>
          <w:color w:val="000000"/>
        </w:rPr>
      </w:pPr>
      <w:r w:rsidRPr="00AB72FA">
        <w:rPr>
          <w:color w:val="000000"/>
        </w:rPr>
        <w:t xml:space="preserve">At the university level, we engaged in a Program Prioritization process during the 2010-2011 academic </w:t>
      </w:r>
      <w:proofErr w:type="gramStart"/>
      <w:r w:rsidRPr="00AB72FA">
        <w:rPr>
          <w:color w:val="000000"/>
        </w:rPr>
        <w:t>year</w:t>
      </w:r>
      <w:proofErr w:type="gramEnd"/>
      <w:r w:rsidRPr="00AB72FA">
        <w:rPr>
          <w:color w:val="000000"/>
        </w:rPr>
        <w:t>. This discussion continue</w:t>
      </w:r>
      <w:r w:rsidR="00893351">
        <w:rPr>
          <w:color w:val="000000"/>
        </w:rPr>
        <w:t>s</w:t>
      </w:r>
      <w:r w:rsidRPr="00AB72FA">
        <w:rPr>
          <w:color w:val="000000"/>
        </w:rPr>
        <w:t>. It is assumed that program support may change (increase or decrease) as a result of these analyses. In the past, programs have been discontinued as a result of low enrollment.  They have also been discontinued as a result of the program review process.</w:t>
      </w:r>
    </w:p>
    <w:p w:rsidR="00497347" w:rsidRPr="00AB72FA" w:rsidRDefault="00497347" w:rsidP="00AB72FA">
      <w:pPr>
        <w:spacing w:after="240"/>
        <w:rPr>
          <w:color w:val="000000"/>
        </w:rPr>
      </w:pPr>
      <w:r w:rsidRPr="00AB72FA">
        <w:rPr>
          <w:color w:val="000000"/>
        </w:rPr>
        <w:t xml:space="preserve">Changes to or discontinuance of individual programs and courses are reviewed within the </w:t>
      </w:r>
      <w:r w:rsidR="00F5146A" w:rsidRPr="00AB72FA">
        <w:rPr>
          <w:color w:val="000000"/>
        </w:rPr>
        <w:t>College</w:t>
      </w:r>
      <w:r w:rsidRPr="00AB72FA">
        <w:rPr>
          <w:color w:val="000000"/>
        </w:rPr>
        <w:t xml:space="preserve"> of Education first at the </w:t>
      </w:r>
      <w:r w:rsidR="00893351">
        <w:rPr>
          <w:color w:val="000000"/>
        </w:rPr>
        <w:t xml:space="preserve">Professional Education </w:t>
      </w:r>
      <w:r w:rsidR="00F9310E" w:rsidRPr="00AB72FA">
        <w:rPr>
          <w:color w:val="000000"/>
        </w:rPr>
        <w:t>Committee.</w:t>
      </w:r>
      <w:r w:rsidRPr="00AB72FA">
        <w:rPr>
          <w:color w:val="000000"/>
        </w:rPr>
        <w:t xml:space="preserve"> The recommendation is then taken to the full </w:t>
      </w:r>
      <w:r w:rsidR="00F5146A" w:rsidRPr="00AB72FA">
        <w:rPr>
          <w:color w:val="000000"/>
        </w:rPr>
        <w:t>College</w:t>
      </w:r>
      <w:r w:rsidRPr="00AB72FA">
        <w:rPr>
          <w:color w:val="000000"/>
        </w:rPr>
        <w:t xml:space="preserve"> of Education. Recommendations are then carried to </w:t>
      </w:r>
      <w:r w:rsidR="00F9310E" w:rsidRPr="00AB72FA">
        <w:rPr>
          <w:color w:val="000000"/>
        </w:rPr>
        <w:t>Graduate Council</w:t>
      </w:r>
      <w:r w:rsidRPr="00AB72FA">
        <w:rPr>
          <w:color w:val="000000"/>
        </w:rPr>
        <w:t>.</w:t>
      </w:r>
    </w:p>
    <w:p w:rsidR="00497347" w:rsidRPr="00497347" w:rsidRDefault="00497347" w:rsidP="00CD1659">
      <w:pPr>
        <w:pStyle w:val="ListParagraph"/>
        <w:numPr>
          <w:ilvl w:val="0"/>
          <w:numId w:val="1"/>
        </w:numPr>
        <w:spacing w:after="240"/>
        <w:ind w:left="360"/>
        <w:rPr>
          <w:b/>
          <w:bCs/>
          <w:color w:val="000000"/>
        </w:rPr>
      </w:pPr>
      <w:r w:rsidRPr="00497347">
        <w:rPr>
          <w:b/>
          <w:bCs/>
          <w:color w:val="000000"/>
        </w:rPr>
        <w:t xml:space="preserve">How do you determine and address the learning support needs (tutoring, advising, placement, library, laboratories, etc.) of your students and faculty in your student learning, development, and assessment processes? </w:t>
      </w:r>
    </w:p>
    <w:p w:rsidR="00893351" w:rsidRDefault="00497347" w:rsidP="00893351">
      <w:pPr>
        <w:spacing w:after="240"/>
        <w:rPr>
          <w:color w:val="000000"/>
        </w:rPr>
      </w:pPr>
      <w:r w:rsidRPr="00497347">
        <w:rPr>
          <w:color w:val="000000"/>
        </w:rPr>
        <w:t>A variety of methods are utilized to determine learning support needs. The department actively uses the services provided by</w:t>
      </w:r>
      <w:r w:rsidR="0045725D">
        <w:rPr>
          <w:color w:val="000000"/>
        </w:rPr>
        <w:t xml:space="preserve"> the Disability Services</w:t>
      </w:r>
      <w:r w:rsidRPr="00497347">
        <w:rPr>
          <w:color w:val="000000"/>
        </w:rPr>
        <w:t xml:space="preserve"> Office in identifying students with special needs. Additionally, </w:t>
      </w:r>
      <w:proofErr w:type="gramStart"/>
      <w:r w:rsidRPr="00497347">
        <w:rPr>
          <w:color w:val="000000"/>
        </w:rPr>
        <w:t>faculty conduct</w:t>
      </w:r>
      <w:proofErr w:type="gramEnd"/>
      <w:r w:rsidRPr="00497347">
        <w:rPr>
          <w:color w:val="000000"/>
        </w:rPr>
        <w:t xml:space="preserve"> group and individual conversations with students to identify specific needs. When necessary students are either provided or referred for tutoring, advisement or training within special services such as </w:t>
      </w:r>
      <w:proofErr w:type="gramStart"/>
      <w:r w:rsidRPr="00497347">
        <w:rPr>
          <w:color w:val="000000"/>
        </w:rPr>
        <w:t>are</w:t>
      </w:r>
      <w:proofErr w:type="gramEnd"/>
      <w:r w:rsidRPr="00497347">
        <w:rPr>
          <w:color w:val="000000"/>
        </w:rPr>
        <w:t xml:space="preserve"> provided by the library. Placements are made on an individual basis and accommodations are made when possible. </w:t>
      </w:r>
      <w:r w:rsidR="003A6764">
        <w:rPr>
          <w:color w:val="000000"/>
        </w:rPr>
        <w:t xml:space="preserve">Programs such as our laptop lending program and the Teaching and Learning Center </w:t>
      </w:r>
      <w:r w:rsidR="00AE0154">
        <w:rPr>
          <w:color w:val="000000"/>
        </w:rPr>
        <w:t>were</w:t>
      </w:r>
      <w:r w:rsidR="003A6764">
        <w:rPr>
          <w:color w:val="000000"/>
        </w:rPr>
        <w:t xml:space="preserve"> created and maintained to meet such needs.</w:t>
      </w:r>
      <w:r w:rsidR="0045725D">
        <w:rPr>
          <w:color w:val="000000"/>
        </w:rPr>
        <w:t xml:space="preserve"> </w:t>
      </w:r>
    </w:p>
    <w:p w:rsidR="00497347" w:rsidRPr="00497347" w:rsidRDefault="00497347" w:rsidP="00893351">
      <w:pPr>
        <w:spacing w:after="240"/>
        <w:rPr>
          <w:b/>
          <w:bCs/>
          <w:color w:val="000000"/>
        </w:rPr>
      </w:pPr>
      <w:r w:rsidRPr="00497347">
        <w:rPr>
          <w:b/>
          <w:bCs/>
          <w:color w:val="000000"/>
        </w:rPr>
        <w:t xml:space="preserve">How do you determine that students to whom you award degrees and certificates have met your learning and development expectations? </w:t>
      </w:r>
    </w:p>
    <w:p w:rsidR="00497347" w:rsidRPr="00497347" w:rsidRDefault="00497347" w:rsidP="00497347">
      <w:pPr>
        <w:spacing w:after="240"/>
        <w:rPr>
          <w:color w:val="000000"/>
        </w:rPr>
      </w:pPr>
      <w:r w:rsidRPr="00497347">
        <w:rPr>
          <w:color w:val="000000"/>
        </w:rPr>
        <w:t xml:space="preserve">Specific exit assessments which address all of the competencies identified within the program are administered before the student leaves the program. For the </w:t>
      </w:r>
      <w:r w:rsidR="00893351">
        <w:rPr>
          <w:color w:val="000000"/>
        </w:rPr>
        <w:t>Educational Leadership</w:t>
      </w:r>
      <w:r w:rsidRPr="00497347">
        <w:rPr>
          <w:color w:val="000000"/>
        </w:rPr>
        <w:t xml:space="preserve"> Program these assessments are: </w:t>
      </w:r>
      <w:r w:rsidR="00893351">
        <w:rPr>
          <w:color w:val="000000"/>
        </w:rPr>
        <w:t xml:space="preserve">Internship, Professional Portfolio, </w:t>
      </w:r>
      <w:r w:rsidR="00256C8C">
        <w:rPr>
          <w:color w:val="000000"/>
        </w:rPr>
        <w:t>Professional Development Plan</w:t>
      </w:r>
      <w:r w:rsidRPr="00497347">
        <w:rPr>
          <w:color w:val="000000"/>
        </w:rPr>
        <w:t xml:space="preserve">, and a passing score </w:t>
      </w:r>
      <w:r w:rsidR="00893351">
        <w:rPr>
          <w:color w:val="000000"/>
        </w:rPr>
        <w:t>on one of three assessment choices (Comprehensive Exam, Praxis Exam, NMTA Educational Leadership Exam)</w:t>
      </w:r>
      <w:r w:rsidRPr="00497347">
        <w:rPr>
          <w:color w:val="000000"/>
        </w:rPr>
        <w:t>.</w:t>
      </w:r>
      <w:r w:rsidR="008465D8">
        <w:rPr>
          <w:color w:val="000000"/>
        </w:rPr>
        <w:t xml:space="preserve"> </w:t>
      </w:r>
      <w:r w:rsidR="001D0503">
        <w:rPr>
          <w:color w:val="000000"/>
        </w:rPr>
        <w:t xml:space="preserve">If the student does not pass </w:t>
      </w:r>
      <w:r w:rsidR="00893351">
        <w:rPr>
          <w:color w:val="000000"/>
        </w:rPr>
        <w:t>one of the three assessment exams</w:t>
      </w:r>
      <w:r w:rsidR="001D0503">
        <w:rPr>
          <w:color w:val="000000"/>
        </w:rPr>
        <w:t xml:space="preserve">, they do not graduate from WNMU. </w:t>
      </w:r>
    </w:p>
    <w:p w:rsidR="00497347" w:rsidRPr="00497347" w:rsidRDefault="00497347" w:rsidP="00CD1659">
      <w:pPr>
        <w:pStyle w:val="ListParagraph"/>
        <w:numPr>
          <w:ilvl w:val="0"/>
          <w:numId w:val="1"/>
        </w:numPr>
        <w:spacing w:after="240"/>
        <w:ind w:left="360"/>
        <w:rPr>
          <w:b/>
          <w:bCs/>
          <w:color w:val="000000"/>
        </w:rPr>
      </w:pPr>
      <w:r w:rsidRPr="00497347">
        <w:rPr>
          <w:b/>
          <w:bCs/>
          <w:color w:val="000000"/>
        </w:rPr>
        <w:t xml:space="preserve">How do you design your processes for assessing student learning? </w:t>
      </w:r>
    </w:p>
    <w:p w:rsidR="00497347" w:rsidRPr="00497347" w:rsidRDefault="00497347" w:rsidP="00497347">
      <w:pPr>
        <w:spacing w:after="240"/>
        <w:rPr>
          <w:color w:val="000000"/>
        </w:rPr>
      </w:pPr>
      <w:r w:rsidRPr="00497347">
        <w:rPr>
          <w:color w:val="000000"/>
        </w:rPr>
        <w:t xml:space="preserve">The assessment system utilized within the </w:t>
      </w:r>
      <w:r w:rsidR="00F5146A">
        <w:rPr>
          <w:color w:val="000000"/>
        </w:rPr>
        <w:t>College</w:t>
      </w:r>
      <w:r w:rsidRPr="00497347">
        <w:rPr>
          <w:color w:val="000000"/>
        </w:rPr>
        <w:t xml:space="preserve"> of Education is aligned with the objectives (Competencies) identified in New </w:t>
      </w:r>
      <w:r w:rsidRPr="00A3278C">
        <w:rPr>
          <w:color w:val="000000"/>
        </w:rPr>
        <w:t>Mexico</w:t>
      </w:r>
      <w:r w:rsidRPr="00497347">
        <w:rPr>
          <w:color w:val="000000"/>
        </w:rPr>
        <w:t xml:space="preserve"> </w:t>
      </w:r>
      <w:r w:rsidR="00D41311">
        <w:rPr>
          <w:color w:val="000000"/>
        </w:rPr>
        <w:t>State Statute</w:t>
      </w:r>
      <w:r w:rsidRPr="00497347">
        <w:rPr>
          <w:color w:val="000000"/>
        </w:rPr>
        <w:t>. The assessments utilized were designed and developed collaboratively by faculty members teaching in each program and feedback has been obtained, and continues to be obtained, from school and district partners who work closely with our students during field experiences.</w:t>
      </w:r>
    </w:p>
    <w:p w:rsidR="00B63761" w:rsidRDefault="00B63761">
      <w:pPr>
        <w:rPr>
          <w:b/>
          <w:bCs/>
          <w:color w:val="000000"/>
        </w:rPr>
      </w:pPr>
      <w:bookmarkStart w:id="2" w:name="RANGE!A1:A14"/>
      <w:r>
        <w:rPr>
          <w:b/>
          <w:bCs/>
          <w:color w:val="000000"/>
        </w:rPr>
        <w:br w:type="page"/>
      </w:r>
    </w:p>
    <w:p w:rsidR="00497347" w:rsidRPr="00497347" w:rsidRDefault="00497347" w:rsidP="00497347">
      <w:pPr>
        <w:pBdr>
          <w:bottom w:val="single" w:sz="4" w:space="1" w:color="auto"/>
        </w:pBdr>
        <w:spacing w:after="240"/>
        <w:rPr>
          <w:b/>
          <w:bCs/>
          <w:color w:val="000000"/>
        </w:rPr>
      </w:pPr>
      <w:r w:rsidRPr="00497347">
        <w:rPr>
          <w:b/>
          <w:bCs/>
          <w:color w:val="000000"/>
        </w:rPr>
        <w:t>Results</w:t>
      </w:r>
      <w:bookmarkEnd w:id="2"/>
    </w:p>
    <w:p w:rsidR="00497347" w:rsidRPr="00497347" w:rsidRDefault="00497347" w:rsidP="00CD1659">
      <w:pPr>
        <w:pStyle w:val="ListParagraph"/>
        <w:numPr>
          <w:ilvl w:val="0"/>
          <w:numId w:val="2"/>
        </w:numPr>
        <w:spacing w:after="240"/>
        <w:ind w:left="360"/>
        <w:rPr>
          <w:b/>
          <w:bCs/>
          <w:color w:val="000000"/>
        </w:rPr>
      </w:pPr>
      <w:r w:rsidRPr="00497347">
        <w:rPr>
          <w:b/>
          <w:bCs/>
          <w:color w:val="000000"/>
        </w:rPr>
        <w:t xml:space="preserve">What measures of your students’ learning and development do you collect and analyze regularly? </w:t>
      </w:r>
    </w:p>
    <w:p w:rsidR="00893351" w:rsidRPr="00041BCF" w:rsidRDefault="00497347" w:rsidP="00041BCF">
      <w:pPr>
        <w:rPr>
          <w:color w:val="000000"/>
        </w:rPr>
      </w:pPr>
      <w:r w:rsidRPr="00497347">
        <w:rPr>
          <w:color w:val="000000"/>
        </w:rPr>
        <w:t xml:space="preserve">On a regular basis, monitoring data </w:t>
      </w:r>
      <w:r w:rsidR="003A6764">
        <w:rPr>
          <w:color w:val="000000"/>
        </w:rPr>
        <w:t>are</w:t>
      </w:r>
      <w:r w:rsidRPr="00497347">
        <w:rPr>
          <w:color w:val="000000"/>
        </w:rPr>
        <w:t xml:space="preserve"> collected on all students within the </w:t>
      </w:r>
      <w:r w:rsidR="00F5146A">
        <w:rPr>
          <w:color w:val="000000"/>
        </w:rPr>
        <w:t>College</w:t>
      </w:r>
      <w:r w:rsidRPr="00497347">
        <w:rPr>
          <w:color w:val="000000"/>
        </w:rPr>
        <w:t xml:space="preserve"> of Education. Each program has identified entry, midpoint, and exit monitoring assessments. These data are collected, reviewed, and analyzed on an annual basis. In the Teacher Education Programs</w:t>
      </w:r>
      <w:r w:rsidR="001D0503">
        <w:rPr>
          <w:color w:val="000000"/>
        </w:rPr>
        <w:t>,</w:t>
      </w:r>
      <w:r w:rsidRPr="00497347">
        <w:rPr>
          <w:color w:val="000000"/>
        </w:rPr>
        <w:t xml:space="preserve"> the following measures are utilized</w:t>
      </w:r>
      <w:proofErr w:type="gramStart"/>
      <w:r w:rsidRPr="00497347">
        <w:rPr>
          <w:color w:val="000000"/>
        </w:rPr>
        <w:t>:</w:t>
      </w:r>
      <w:proofErr w:type="gramEnd"/>
      <w:r w:rsidRPr="00497347">
        <w:rPr>
          <w:color w:val="000000"/>
        </w:rPr>
        <w:br/>
      </w:r>
      <w:r w:rsidRPr="00497347">
        <w:rPr>
          <w:color w:val="000000"/>
        </w:rPr>
        <w:br/>
      </w:r>
      <w:r w:rsidRPr="00497347">
        <w:rPr>
          <w:b/>
          <w:bCs/>
          <w:color w:val="000000"/>
          <w:u w:val="single"/>
        </w:rPr>
        <w:t>Entry Monitoring Assessments</w:t>
      </w:r>
      <w:r w:rsidRPr="00497347">
        <w:rPr>
          <w:color w:val="000000"/>
        </w:rPr>
        <w:br/>
      </w:r>
      <w:r w:rsidR="00893351" w:rsidRPr="00041BCF">
        <w:rPr>
          <w:color w:val="000000"/>
        </w:rPr>
        <w:t>Bachelor’s Degree</w:t>
      </w:r>
    </w:p>
    <w:p w:rsidR="00893351" w:rsidRPr="00041BCF" w:rsidRDefault="00893351" w:rsidP="00041BCF">
      <w:pPr>
        <w:rPr>
          <w:color w:val="000000"/>
        </w:rPr>
      </w:pPr>
      <w:r w:rsidRPr="00041BCF">
        <w:rPr>
          <w:color w:val="000000"/>
        </w:rPr>
        <w:t>3.0 GPA</w:t>
      </w:r>
    </w:p>
    <w:p w:rsidR="00893351" w:rsidRPr="00041BCF" w:rsidRDefault="00893351" w:rsidP="00041BCF">
      <w:pPr>
        <w:rPr>
          <w:color w:val="000000"/>
        </w:rPr>
      </w:pPr>
      <w:r w:rsidRPr="00041BCF">
        <w:rPr>
          <w:color w:val="000000"/>
        </w:rPr>
        <w:t>2.75-2.99 GPA +</w:t>
      </w:r>
      <w:proofErr w:type="gramStart"/>
      <w:r w:rsidRPr="00041BCF">
        <w:rPr>
          <w:color w:val="000000"/>
        </w:rPr>
        <w:t>  one</w:t>
      </w:r>
      <w:proofErr w:type="gramEnd"/>
      <w:r w:rsidRPr="00041BCF">
        <w:rPr>
          <w:color w:val="000000"/>
        </w:rPr>
        <w:t xml:space="preserve"> semester graduate work with B or better  = Graduate Division FINAL Admission/Academic Probation</w:t>
      </w:r>
    </w:p>
    <w:p w:rsidR="00893351" w:rsidRPr="00041BCF" w:rsidRDefault="00893351" w:rsidP="00041BCF">
      <w:pPr>
        <w:rPr>
          <w:color w:val="000000"/>
        </w:rPr>
      </w:pPr>
      <w:r w:rsidRPr="00041BCF">
        <w:rPr>
          <w:color w:val="000000"/>
        </w:rPr>
        <w:t>Letters of Recommendation</w:t>
      </w:r>
    </w:p>
    <w:p w:rsidR="00893351" w:rsidRPr="00041BCF" w:rsidRDefault="00893351" w:rsidP="00041BCF">
      <w:pPr>
        <w:rPr>
          <w:color w:val="000000"/>
        </w:rPr>
      </w:pPr>
      <w:r w:rsidRPr="00041BCF">
        <w:rPr>
          <w:color w:val="000000"/>
        </w:rPr>
        <w:t>Resume or Vita</w:t>
      </w:r>
    </w:p>
    <w:p w:rsidR="00893351" w:rsidRPr="00041BCF" w:rsidRDefault="00893351" w:rsidP="00041BCF">
      <w:pPr>
        <w:rPr>
          <w:color w:val="000000"/>
        </w:rPr>
      </w:pPr>
      <w:r w:rsidRPr="00041BCF">
        <w:rPr>
          <w:color w:val="000000"/>
        </w:rPr>
        <w:t>Career Goal Essay</w:t>
      </w:r>
    </w:p>
    <w:p w:rsidR="00041BCF" w:rsidRPr="00041BCF" w:rsidRDefault="00041BCF">
      <w:pPr>
        <w:rPr>
          <w:color w:val="000000"/>
        </w:rPr>
      </w:pPr>
      <w:r w:rsidRPr="00041BCF">
        <w:rPr>
          <w:color w:val="000000"/>
        </w:rPr>
        <w:t>Criminal Disclosure</w:t>
      </w:r>
    </w:p>
    <w:p w:rsidR="00041BCF" w:rsidRPr="00041BCF" w:rsidRDefault="00041BCF" w:rsidP="00041BCF">
      <w:pPr>
        <w:rPr>
          <w:color w:val="000000"/>
        </w:rPr>
      </w:pPr>
      <w:r w:rsidRPr="00041BCF">
        <w:rPr>
          <w:color w:val="000000"/>
        </w:rPr>
        <w:t>Form</w:t>
      </w:r>
    </w:p>
    <w:p w:rsidR="00041BCF" w:rsidRPr="00041BCF" w:rsidRDefault="00041BCF">
      <w:pPr>
        <w:rPr>
          <w:color w:val="000000"/>
        </w:rPr>
      </w:pPr>
      <w:r w:rsidRPr="00041BCF">
        <w:rPr>
          <w:color w:val="000000"/>
        </w:rPr>
        <w:t>Successful completion of Professional</w:t>
      </w:r>
      <w:r>
        <w:rPr>
          <w:sz w:val="20"/>
          <w:szCs w:val="20"/>
        </w:rPr>
        <w:t xml:space="preserve"> </w:t>
      </w:r>
      <w:r w:rsidRPr="00041BCF">
        <w:rPr>
          <w:color w:val="000000"/>
        </w:rPr>
        <w:t>Behaviors and Dispositions</w:t>
      </w:r>
    </w:p>
    <w:p w:rsidR="00497347" w:rsidRDefault="00497347" w:rsidP="00497347">
      <w:pPr>
        <w:spacing w:after="240"/>
        <w:rPr>
          <w:color w:val="000000"/>
        </w:rPr>
      </w:pPr>
    </w:p>
    <w:p w:rsidR="00041BCF" w:rsidRPr="00041BCF" w:rsidRDefault="00A97828" w:rsidP="00041BCF">
      <w:pPr>
        <w:rPr>
          <w:color w:val="000000"/>
        </w:rPr>
      </w:pPr>
      <w:r w:rsidRPr="00497347">
        <w:rPr>
          <w:b/>
          <w:bCs/>
          <w:color w:val="000000"/>
          <w:u w:val="single"/>
        </w:rPr>
        <w:t>Midpoint Monitoring</w:t>
      </w:r>
      <w:r w:rsidR="00497347" w:rsidRPr="00497347">
        <w:rPr>
          <w:b/>
          <w:bCs/>
          <w:color w:val="000000"/>
          <w:u w:val="single"/>
        </w:rPr>
        <w:t xml:space="preserve"> Assessments</w:t>
      </w:r>
      <w:r w:rsidR="00497347" w:rsidRPr="00497347">
        <w:rPr>
          <w:color w:val="000000"/>
        </w:rPr>
        <w:br/>
      </w:r>
      <w:r w:rsidR="00041BCF" w:rsidRPr="00041BCF">
        <w:t xml:space="preserve">Professional </w:t>
      </w:r>
      <w:r w:rsidR="00041BCF" w:rsidRPr="00041BCF">
        <w:rPr>
          <w:color w:val="000000"/>
        </w:rPr>
        <w:t>Leadership Framework—Gallup</w:t>
      </w:r>
    </w:p>
    <w:p w:rsidR="00041BCF" w:rsidRPr="00041BCF" w:rsidRDefault="00041BCF">
      <w:pPr>
        <w:rPr>
          <w:color w:val="000000"/>
        </w:rPr>
      </w:pPr>
      <w:r w:rsidRPr="00041BCF">
        <w:rPr>
          <w:color w:val="000000"/>
        </w:rPr>
        <w:t xml:space="preserve">Growth Plan—Silver </w:t>
      </w:r>
    </w:p>
    <w:p w:rsidR="00041BCF" w:rsidRPr="00041BCF" w:rsidRDefault="00041BCF">
      <w:pPr>
        <w:rPr>
          <w:color w:val="000000"/>
        </w:rPr>
      </w:pPr>
      <w:r w:rsidRPr="00041BCF">
        <w:rPr>
          <w:color w:val="000000"/>
        </w:rPr>
        <w:t>Current Educational Challenge—Gallup</w:t>
      </w:r>
    </w:p>
    <w:p w:rsidR="00041BCF" w:rsidRPr="00041BCF" w:rsidRDefault="00041BCF">
      <w:pPr>
        <w:rPr>
          <w:color w:val="000000"/>
        </w:rPr>
      </w:pPr>
      <w:r w:rsidRPr="00041BCF">
        <w:rPr>
          <w:color w:val="000000"/>
        </w:rPr>
        <w:t>School Leadership Challenge--Silver</w:t>
      </w:r>
    </w:p>
    <w:p w:rsidR="00041BCF" w:rsidRPr="00041BCF" w:rsidRDefault="00041BCF">
      <w:pPr>
        <w:rPr>
          <w:color w:val="000000"/>
        </w:rPr>
      </w:pPr>
      <w:r w:rsidRPr="00041BCF">
        <w:rPr>
          <w:color w:val="000000"/>
        </w:rPr>
        <w:t>Community Involvement Plan--Gallup</w:t>
      </w:r>
    </w:p>
    <w:p w:rsidR="00041BCF" w:rsidRPr="00041BCF" w:rsidRDefault="00041BCF">
      <w:pPr>
        <w:rPr>
          <w:color w:val="000000"/>
        </w:rPr>
      </w:pPr>
      <w:r w:rsidRPr="00041BCF">
        <w:rPr>
          <w:color w:val="000000"/>
        </w:rPr>
        <w:t>Educational Improvement Plan—Gallup</w:t>
      </w:r>
    </w:p>
    <w:p w:rsidR="00041BCF" w:rsidRPr="00041BCF" w:rsidRDefault="00041BCF">
      <w:pPr>
        <w:rPr>
          <w:color w:val="000000"/>
        </w:rPr>
      </w:pPr>
      <w:r w:rsidRPr="00041BCF">
        <w:rPr>
          <w:color w:val="000000"/>
        </w:rPr>
        <w:t>School and Community Public Relations Plan--Silver</w:t>
      </w:r>
    </w:p>
    <w:p w:rsidR="00497347" w:rsidRDefault="00041BCF" w:rsidP="00041BCF">
      <w:r w:rsidRPr="00041BCF">
        <w:rPr>
          <w:color w:val="000000"/>
        </w:rPr>
        <w:t>Successful completion</w:t>
      </w:r>
      <w:r w:rsidRPr="00041BCF">
        <w:t xml:space="preserve"> of Professional Behaviors and Dispositions Assessment</w:t>
      </w:r>
    </w:p>
    <w:p w:rsidR="00041BCF" w:rsidRPr="00041BCF" w:rsidRDefault="00041BCF" w:rsidP="00041BCF">
      <w:pPr>
        <w:spacing w:after="240"/>
      </w:pPr>
    </w:p>
    <w:p w:rsidR="00041BCF" w:rsidRPr="00041BCF" w:rsidRDefault="00497347" w:rsidP="00041BCF">
      <w:pPr>
        <w:rPr>
          <w:color w:val="000000"/>
        </w:rPr>
      </w:pPr>
      <w:r w:rsidRPr="00497347">
        <w:rPr>
          <w:b/>
          <w:bCs/>
          <w:color w:val="000000"/>
          <w:u w:val="single"/>
        </w:rPr>
        <w:t>Exit Monitoring Assessments</w:t>
      </w:r>
      <w:r w:rsidRPr="00497347">
        <w:rPr>
          <w:color w:val="000000"/>
        </w:rPr>
        <w:br/>
      </w:r>
      <w:r w:rsidR="00041BCF" w:rsidRPr="00041BCF">
        <w:rPr>
          <w:color w:val="000000"/>
        </w:rPr>
        <w:t>Successful completion of EDL 581-582 internship for all candidates</w:t>
      </w:r>
    </w:p>
    <w:p w:rsidR="00041BCF" w:rsidRPr="00041BCF" w:rsidRDefault="00041BCF">
      <w:pPr>
        <w:rPr>
          <w:color w:val="000000"/>
        </w:rPr>
      </w:pPr>
      <w:proofErr w:type="gramStart"/>
      <w:r w:rsidRPr="00041BCF">
        <w:rPr>
          <w:color w:val="000000"/>
        </w:rPr>
        <w:t>Comprehensive Exam</w:t>
      </w:r>
      <w:r>
        <w:rPr>
          <w:color w:val="000000"/>
        </w:rPr>
        <w:t xml:space="preserve"> </w:t>
      </w:r>
      <w:r w:rsidRPr="00041BCF">
        <w:rPr>
          <w:color w:val="000000"/>
        </w:rPr>
        <w:t>OR</w:t>
      </w:r>
      <w:r>
        <w:rPr>
          <w:color w:val="000000"/>
        </w:rPr>
        <w:t xml:space="preserve"> </w:t>
      </w:r>
      <w:r w:rsidRPr="00041BCF">
        <w:rPr>
          <w:color w:val="000000"/>
        </w:rPr>
        <w:t>Ed. Admin.</w:t>
      </w:r>
      <w:proofErr w:type="gramEnd"/>
      <w:r>
        <w:rPr>
          <w:color w:val="000000"/>
        </w:rPr>
        <w:t xml:space="preserve"> </w:t>
      </w:r>
      <w:r w:rsidRPr="00041BCF">
        <w:rPr>
          <w:color w:val="000000"/>
        </w:rPr>
        <w:t>Praxis Exam</w:t>
      </w:r>
      <w:r>
        <w:rPr>
          <w:color w:val="000000"/>
        </w:rPr>
        <w:t xml:space="preserve"> </w:t>
      </w:r>
      <w:r w:rsidRPr="00041BCF">
        <w:rPr>
          <w:color w:val="000000"/>
        </w:rPr>
        <w:t>OR NMTA Ed Leadership Exam</w:t>
      </w:r>
    </w:p>
    <w:p w:rsidR="00041BCF" w:rsidRPr="00041BCF" w:rsidRDefault="00041BCF">
      <w:pPr>
        <w:rPr>
          <w:color w:val="000000"/>
        </w:rPr>
      </w:pPr>
      <w:r w:rsidRPr="00041BCF">
        <w:rPr>
          <w:color w:val="000000"/>
        </w:rPr>
        <w:t>Successful completion of Professional Portfolio</w:t>
      </w:r>
    </w:p>
    <w:p w:rsidR="00041BCF" w:rsidRDefault="00041BCF">
      <w:pPr>
        <w:rPr>
          <w:color w:val="000000"/>
        </w:rPr>
      </w:pPr>
      <w:r w:rsidRPr="00041BCF">
        <w:rPr>
          <w:color w:val="000000"/>
        </w:rPr>
        <w:t>Successful completion of Professional Behaviors and Dispositions Assessment and Professional Development Plans (Gallup)</w:t>
      </w:r>
    </w:p>
    <w:p w:rsidR="00041BCF" w:rsidRPr="00041BCF" w:rsidRDefault="00041BCF" w:rsidP="00041BCF">
      <w:pPr>
        <w:spacing w:after="240"/>
        <w:rPr>
          <w:color w:val="000000"/>
        </w:rPr>
      </w:pPr>
    </w:p>
    <w:p w:rsidR="00497347" w:rsidRPr="00497347" w:rsidRDefault="00497347" w:rsidP="00CD1659">
      <w:pPr>
        <w:pStyle w:val="ListParagraph"/>
        <w:numPr>
          <w:ilvl w:val="0"/>
          <w:numId w:val="2"/>
        </w:numPr>
        <w:spacing w:after="240"/>
        <w:ind w:left="360"/>
        <w:rPr>
          <w:b/>
          <w:bCs/>
          <w:color w:val="000000"/>
        </w:rPr>
      </w:pPr>
      <w:r w:rsidRPr="00497347">
        <w:rPr>
          <w:b/>
          <w:bCs/>
          <w:color w:val="000000"/>
        </w:rPr>
        <w:t xml:space="preserve">What are your performance results for your common student learning and development objectives? </w:t>
      </w:r>
    </w:p>
    <w:p w:rsidR="00497347" w:rsidRPr="00497347" w:rsidRDefault="00497347" w:rsidP="00497347">
      <w:pPr>
        <w:spacing w:after="240"/>
        <w:rPr>
          <w:color w:val="000000"/>
        </w:rPr>
      </w:pPr>
      <w:r w:rsidRPr="00497347">
        <w:rPr>
          <w:color w:val="000000"/>
        </w:rPr>
        <w:t>As a general rule</w:t>
      </w:r>
      <w:r w:rsidR="001D0503">
        <w:rPr>
          <w:color w:val="000000"/>
        </w:rPr>
        <w:t>,</w:t>
      </w:r>
      <w:r w:rsidRPr="00497347">
        <w:rPr>
          <w:color w:val="000000"/>
        </w:rPr>
        <w:t xml:space="preserve"> 100% perform at </w:t>
      </w:r>
      <w:r w:rsidR="00B63761">
        <w:rPr>
          <w:color w:val="000000"/>
        </w:rPr>
        <w:t xml:space="preserve">or above </w:t>
      </w:r>
      <w:r w:rsidRPr="00497347">
        <w:rPr>
          <w:color w:val="000000"/>
        </w:rPr>
        <w:t>expectations. On occasion</w:t>
      </w:r>
      <w:r w:rsidR="003A6764">
        <w:rPr>
          <w:color w:val="000000"/>
        </w:rPr>
        <w:t>,</w:t>
      </w:r>
      <w:r w:rsidRPr="00497347">
        <w:rPr>
          <w:color w:val="000000"/>
        </w:rPr>
        <w:t xml:space="preserve"> a student is performing at a lower level. When this happens, we work to identify the issues early and develop a plan of assistance for the student. Student learning and development are assessed at midpoint and entry, allowing us to work closely with students who are performing below expectations.</w:t>
      </w:r>
    </w:p>
    <w:p w:rsidR="00497347" w:rsidRPr="00497347" w:rsidRDefault="00497347" w:rsidP="00CD1659">
      <w:pPr>
        <w:pStyle w:val="ListParagraph"/>
        <w:numPr>
          <w:ilvl w:val="0"/>
          <w:numId w:val="2"/>
        </w:numPr>
        <w:spacing w:after="240"/>
        <w:ind w:left="360"/>
        <w:rPr>
          <w:b/>
          <w:bCs/>
          <w:color w:val="000000"/>
        </w:rPr>
      </w:pPr>
      <w:r w:rsidRPr="00497347">
        <w:rPr>
          <w:b/>
          <w:bCs/>
          <w:color w:val="000000"/>
        </w:rPr>
        <w:t xml:space="preserve">What are your performance results for specific program learning objectives? </w:t>
      </w:r>
    </w:p>
    <w:p w:rsidR="00497347" w:rsidRPr="00497347" w:rsidRDefault="00497347" w:rsidP="00497347">
      <w:pPr>
        <w:spacing w:after="240"/>
        <w:rPr>
          <w:color w:val="000000"/>
        </w:rPr>
      </w:pPr>
      <w:r w:rsidRPr="00497347">
        <w:rPr>
          <w:color w:val="000000"/>
        </w:rPr>
        <w:t>Again, as a general rule</w:t>
      </w:r>
      <w:r w:rsidR="001D0503">
        <w:rPr>
          <w:color w:val="000000"/>
        </w:rPr>
        <w:t>,</w:t>
      </w:r>
      <w:r w:rsidRPr="00497347">
        <w:rPr>
          <w:color w:val="000000"/>
        </w:rPr>
        <w:t xml:space="preserve"> 100% of students perform at </w:t>
      </w:r>
      <w:r w:rsidR="00B63761">
        <w:rPr>
          <w:color w:val="000000"/>
        </w:rPr>
        <w:t xml:space="preserve">or above </w:t>
      </w:r>
      <w:r w:rsidRPr="00497347">
        <w:rPr>
          <w:color w:val="000000"/>
        </w:rPr>
        <w:t xml:space="preserve">expectations. If a student is performing below expectations they are remediated either individually or as a group either by the faculty member teaching the course, the advisor, or through a tutoring session supported by the </w:t>
      </w:r>
      <w:r w:rsidR="00F5146A">
        <w:rPr>
          <w:color w:val="000000"/>
        </w:rPr>
        <w:t>College</w:t>
      </w:r>
      <w:r w:rsidRPr="00497347">
        <w:rPr>
          <w:color w:val="000000"/>
        </w:rPr>
        <w:t xml:space="preserve"> of Education.</w:t>
      </w:r>
    </w:p>
    <w:p w:rsidR="00497347" w:rsidRPr="00497347" w:rsidRDefault="00497347" w:rsidP="00CD1659">
      <w:pPr>
        <w:pStyle w:val="ListParagraph"/>
        <w:numPr>
          <w:ilvl w:val="0"/>
          <w:numId w:val="2"/>
        </w:numPr>
        <w:spacing w:after="240"/>
        <w:ind w:left="360"/>
        <w:rPr>
          <w:b/>
          <w:bCs/>
          <w:color w:val="000000"/>
        </w:rPr>
      </w:pPr>
      <w:r w:rsidRPr="00497347">
        <w:rPr>
          <w:b/>
          <w:bCs/>
          <w:color w:val="000000"/>
        </w:rPr>
        <w:t xml:space="preserve">What is your evidence that the students completing your programs, degrees, and certificates have acquired the knowledge and skills required by your stakeholders (i.e., other educational organizations and employers)? </w:t>
      </w:r>
    </w:p>
    <w:p w:rsidR="00497347" w:rsidRDefault="00497347" w:rsidP="00497347">
      <w:pPr>
        <w:spacing w:after="240"/>
        <w:rPr>
          <w:color w:val="000000"/>
        </w:rPr>
      </w:pPr>
      <w:r w:rsidRPr="00497347">
        <w:rPr>
          <w:color w:val="000000"/>
        </w:rPr>
        <w:t xml:space="preserve">The </w:t>
      </w:r>
      <w:r w:rsidR="00B63761">
        <w:rPr>
          <w:color w:val="000000"/>
        </w:rPr>
        <w:t xml:space="preserve">results from </w:t>
      </w:r>
      <w:r w:rsidRPr="00497347">
        <w:rPr>
          <w:color w:val="000000"/>
        </w:rPr>
        <w:t xml:space="preserve">Exit Monitoring Assessments </w:t>
      </w:r>
      <w:r w:rsidR="00B63761">
        <w:rPr>
          <w:color w:val="000000"/>
        </w:rPr>
        <w:t>for 20</w:t>
      </w:r>
      <w:r w:rsidR="00AE0154">
        <w:rPr>
          <w:color w:val="000000"/>
        </w:rPr>
        <w:t>11</w:t>
      </w:r>
      <w:r w:rsidR="00B63761">
        <w:rPr>
          <w:color w:val="000000"/>
        </w:rPr>
        <w:t>-201</w:t>
      </w:r>
      <w:r w:rsidR="00AE0154">
        <w:rPr>
          <w:color w:val="000000"/>
        </w:rPr>
        <w:t>2</w:t>
      </w:r>
      <w:r w:rsidR="00B63761">
        <w:rPr>
          <w:color w:val="000000"/>
        </w:rPr>
        <w:t xml:space="preserve"> are as follows</w:t>
      </w:r>
      <w:r w:rsidRPr="00497347">
        <w:rPr>
          <w:color w:val="000000"/>
        </w:rPr>
        <w:t>:</w:t>
      </w: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545"/>
        <w:gridCol w:w="1545"/>
        <w:gridCol w:w="2221"/>
        <w:gridCol w:w="1753"/>
        <w:gridCol w:w="1330"/>
        <w:gridCol w:w="1433"/>
        <w:gridCol w:w="1710"/>
      </w:tblGrid>
      <w:tr w:rsidR="00B4789B" w:rsidTr="00B4789B">
        <w:trPr>
          <w:trHeight w:val="575"/>
        </w:trPr>
        <w:tc>
          <w:tcPr>
            <w:tcW w:w="1546" w:type="dxa"/>
            <w:shd w:val="clear" w:color="000000" w:fill="76923C"/>
          </w:tcPr>
          <w:p w:rsidR="00B4789B" w:rsidRDefault="00B4789B" w:rsidP="003F2F46">
            <w:pPr>
              <w:jc w:val="center"/>
              <w:rPr>
                <w:rFonts w:ascii="Verdana" w:hAnsi="Verdana"/>
                <w:b/>
                <w:bCs/>
                <w:color w:val="000000"/>
                <w:sz w:val="16"/>
                <w:szCs w:val="16"/>
              </w:rPr>
            </w:pPr>
          </w:p>
        </w:tc>
        <w:tc>
          <w:tcPr>
            <w:tcW w:w="1545" w:type="dxa"/>
            <w:shd w:val="clear" w:color="000000" w:fill="76923C"/>
          </w:tcPr>
          <w:p w:rsidR="00B4789B" w:rsidRDefault="00B4789B" w:rsidP="003F2F46">
            <w:pPr>
              <w:jc w:val="center"/>
              <w:rPr>
                <w:rFonts w:ascii="Verdana" w:hAnsi="Verdana"/>
                <w:b/>
                <w:bCs/>
                <w:color w:val="000000"/>
                <w:sz w:val="16"/>
                <w:szCs w:val="16"/>
              </w:rPr>
            </w:pPr>
          </w:p>
        </w:tc>
        <w:tc>
          <w:tcPr>
            <w:tcW w:w="1545" w:type="dxa"/>
            <w:shd w:val="clear" w:color="000000" w:fill="76923C"/>
          </w:tcPr>
          <w:p w:rsidR="00B4789B" w:rsidRDefault="00B4789B" w:rsidP="003F2F46">
            <w:pPr>
              <w:jc w:val="center"/>
              <w:rPr>
                <w:rFonts w:ascii="Verdana" w:hAnsi="Verdana"/>
                <w:b/>
                <w:bCs/>
                <w:color w:val="000000"/>
                <w:sz w:val="16"/>
                <w:szCs w:val="16"/>
              </w:rPr>
            </w:pPr>
          </w:p>
        </w:tc>
        <w:tc>
          <w:tcPr>
            <w:tcW w:w="2221" w:type="dxa"/>
            <w:shd w:val="clear" w:color="000000" w:fill="76923C"/>
            <w:hideMark/>
          </w:tcPr>
          <w:p w:rsidR="00B4789B" w:rsidRDefault="00B4789B" w:rsidP="003F2F46">
            <w:pPr>
              <w:jc w:val="center"/>
              <w:rPr>
                <w:rFonts w:ascii="Verdana" w:hAnsi="Verdana"/>
                <w:b/>
                <w:bCs/>
                <w:color w:val="000000"/>
                <w:sz w:val="16"/>
                <w:szCs w:val="16"/>
              </w:rPr>
            </w:pPr>
            <w:r>
              <w:rPr>
                <w:rFonts w:ascii="Verdana" w:hAnsi="Verdana"/>
                <w:b/>
                <w:bCs/>
                <w:color w:val="000000"/>
                <w:sz w:val="16"/>
                <w:szCs w:val="16"/>
              </w:rPr>
              <w:t>Program</w:t>
            </w:r>
          </w:p>
        </w:tc>
        <w:tc>
          <w:tcPr>
            <w:tcW w:w="1753" w:type="dxa"/>
            <w:shd w:val="clear" w:color="000000" w:fill="76923C"/>
            <w:hideMark/>
          </w:tcPr>
          <w:p w:rsidR="00B4789B" w:rsidRDefault="00B4789B" w:rsidP="00041BCF">
            <w:pPr>
              <w:jc w:val="center"/>
              <w:rPr>
                <w:rFonts w:ascii="Verdana" w:hAnsi="Verdana"/>
                <w:b/>
                <w:bCs/>
                <w:color w:val="000000"/>
                <w:sz w:val="16"/>
                <w:szCs w:val="16"/>
              </w:rPr>
            </w:pPr>
            <w:r>
              <w:rPr>
                <w:rFonts w:ascii="Verdana" w:hAnsi="Verdana"/>
                <w:b/>
                <w:bCs/>
                <w:color w:val="000000"/>
                <w:sz w:val="16"/>
                <w:szCs w:val="16"/>
              </w:rPr>
              <w:t>Successful completion of Internship</w:t>
            </w:r>
          </w:p>
        </w:tc>
        <w:tc>
          <w:tcPr>
            <w:tcW w:w="1330" w:type="dxa"/>
            <w:shd w:val="clear" w:color="000000" w:fill="76923C"/>
            <w:hideMark/>
          </w:tcPr>
          <w:p w:rsidR="00B4789B" w:rsidRDefault="00B4789B" w:rsidP="003F2F46">
            <w:pPr>
              <w:jc w:val="center"/>
              <w:rPr>
                <w:rFonts w:ascii="Verdana" w:hAnsi="Verdana"/>
                <w:b/>
                <w:bCs/>
                <w:color w:val="000000"/>
                <w:sz w:val="16"/>
                <w:szCs w:val="16"/>
              </w:rPr>
            </w:pPr>
            <w:r>
              <w:rPr>
                <w:rFonts w:ascii="Verdana" w:hAnsi="Verdana"/>
                <w:b/>
                <w:bCs/>
                <w:color w:val="000000"/>
                <w:sz w:val="16"/>
                <w:szCs w:val="16"/>
              </w:rPr>
              <w:t>PBD Exit</w:t>
            </w:r>
          </w:p>
        </w:tc>
        <w:tc>
          <w:tcPr>
            <w:tcW w:w="1433" w:type="dxa"/>
            <w:shd w:val="clear" w:color="000000" w:fill="76923C"/>
            <w:hideMark/>
          </w:tcPr>
          <w:p w:rsidR="00B4789B" w:rsidRDefault="00B4789B" w:rsidP="003F2F46">
            <w:pPr>
              <w:jc w:val="center"/>
              <w:rPr>
                <w:rFonts w:ascii="Verdana" w:hAnsi="Verdana"/>
                <w:b/>
                <w:bCs/>
                <w:color w:val="000000"/>
                <w:sz w:val="16"/>
                <w:szCs w:val="16"/>
              </w:rPr>
            </w:pPr>
            <w:r>
              <w:rPr>
                <w:rFonts w:ascii="Verdana" w:hAnsi="Verdana"/>
                <w:b/>
                <w:bCs/>
                <w:color w:val="000000"/>
                <w:sz w:val="16"/>
                <w:szCs w:val="16"/>
              </w:rPr>
              <w:t>Exit Exam</w:t>
            </w:r>
          </w:p>
        </w:tc>
        <w:tc>
          <w:tcPr>
            <w:tcW w:w="1710" w:type="dxa"/>
            <w:shd w:val="clear" w:color="000000" w:fill="76923C"/>
          </w:tcPr>
          <w:p w:rsidR="00B4789B" w:rsidRDefault="00B4789B" w:rsidP="003F2F46">
            <w:pPr>
              <w:jc w:val="center"/>
              <w:rPr>
                <w:rFonts w:ascii="Verdana" w:hAnsi="Verdana"/>
                <w:b/>
                <w:bCs/>
                <w:color w:val="000000"/>
                <w:sz w:val="16"/>
                <w:szCs w:val="16"/>
              </w:rPr>
            </w:pPr>
            <w:r>
              <w:rPr>
                <w:rFonts w:ascii="Verdana" w:hAnsi="Verdana"/>
                <w:b/>
                <w:bCs/>
                <w:color w:val="000000"/>
                <w:sz w:val="16"/>
                <w:szCs w:val="16"/>
              </w:rPr>
              <w:t>Portfolio</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W00066368</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Gary Wayne</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Sherwood</w:t>
            </w:r>
          </w:p>
        </w:tc>
        <w:tc>
          <w:tcPr>
            <w:tcW w:w="2221" w:type="dxa"/>
            <w:shd w:val="clear" w:color="auto" w:fill="auto"/>
            <w:noWrap/>
            <w:vAlign w:val="bottom"/>
          </w:tcPr>
          <w:p w:rsidR="00B4789B" w:rsidRDefault="00B4789B">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rsidP="00873D9E">
            <w:pPr>
              <w:jc w:val="center"/>
              <w:rPr>
                <w:rFonts w:ascii="Verdana" w:hAnsi="Verdana"/>
                <w:color w:val="000000"/>
                <w:sz w:val="16"/>
                <w:szCs w:val="16"/>
              </w:rPr>
            </w:pPr>
            <w:r>
              <w:rPr>
                <w:rFonts w:ascii="Verdana" w:hAnsi="Verdana"/>
                <w:color w:val="000000"/>
                <w:sz w:val="16"/>
                <w:szCs w:val="16"/>
              </w:rPr>
              <w:t>264</w:t>
            </w:r>
          </w:p>
        </w:tc>
        <w:tc>
          <w:tcPr>
            <w:tcW w:w="1710" w:type="dxa"/>
          </w:tcPr>
          <w:p w:rsidR="00B4789B" w:rsidRDefault="00B4789B">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W00042610</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Sylvia</w:t>
            </w:r>
          </w:p>
        </w:tc>
        <w:tc>
          <w:tcPr>
            <w:tcW w:w="1545" w:type="dxa"/>
            <w:vAlign w:val="bottom"/>
          </w:tcPr>
          <w:p w:rsidR="00B4789B" w:rsidRDefault="00B4789B">
            <w:pPr>
              <w:rPr>
                <w:rFonts w:ascii="Calibri" w:hAnsi="Calibri" w:cs="Calibri"/>
                <w:color w:val="000000"/>
                <w:sz w:val="22"/>
                <w:szCs w:val="22"/>
              </w:rPr>
            </w:pPr>
            <w:proofErr w:type="spellStart"/>
            <w:r>
              <w:rPr>
                <w:rFonts w:ascii="Calibri" w:hAnsi="Calibri" w:cs="Calibri"/>
                <w:color w:val="000000"/>
                <w:sz w:val="22"/>
                <w:szCs w:val="22"/>
              </w:rPr>
              <w:t>Orquiz</w:t>
            </w:r>
            <w:proofErr w:type="spellEnd"/>
          </w:p>
        </w:tc>
        <w:tc>
          <w:tcPr>
            <w:tcW w:w="2221" w:type="dxa"/>
            <w:shd w:val="clear" w:color="auto" w:fill="auto"/>
            <w:noWrap/>
            <w:vAlign w:val="bottom"/>
          </w:tcPr>
          <w:p w:rsidR="00B4789B" w:rsidRDefault="00B4789B">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244</w:t>
            </w:r>
          </w:p>
        </w:tc>
        <w:tc>
          <w:tcPr>
            <w:tcW w:w="1710" w:type="dxa"/>
          </w:tcPr>
          <w:p w:rsidR="00B4789B" w:rsidRDefault="00B4789B">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W00043290</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Kay</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Jenkins</w:t>
            </w:r>
          </w:p>
        </w:tc>
        <w:tc>
          <w:tcPr>
            <w:tcW w:w="2221" w:type="dxa"/>
            <w:shd w:val="clear" w:color="auto" w:fill="auto"/>
            <w:noWrap/>
            <w:vAlign w:val="bottom"/>
          </w:tcPr>
          <w:p w:rsidR="00B4789B" w:rsidRDefault="00B4789B">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233</w:t>
            </w:r>
          </w:p>
        </w:tc>
        <w:tc>
          <w:tcPr>
            <w:tcW w:w="1710" w:type="dxa"/>
          </w:tcPr>
          <w:p w:rsidR="00B4789B" w:rsidRDefault="00B4789B">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W00047889</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Lucinda</w:t>
            </w:r>
          </w:p>
        </w:tc>
        <w:tc>
          <w:tcPr>
            <w:tcW w:w="1545" w:type="dxa"/>
            <w:vAlign w:val="bottom"/>
          </w:tcPr>
          <w:p w:rsidR="00B4789B" w:rsidRDefault="00B4789B">
            <w:pPr>
              <w:rPr>
                <w:rFonts w:ascii="Calibri" w:hAnsi="Calibri" w:cs="Calibri"/>
                <w:color w:val="000000"/>
                <w:sz w:val="22"/>
                <w:szCs w:val="22"/>
              </w:rPr>
            </w:pPr>
            <w:proofErr w:type="spellStart"/>
            <w:r>
              <w:rPr>
                <w:rFonts w:ascii="Calibri" w:hAnsi="Calibri" w:cs="Calibri"/>
                <w:color w:val="000000"/>
                <w:sz w:val="22"/>
                <w:szCs w:val="22"/>
              </w:rPr>
              <w:t>Bitsoi</w:t>
            </w:r>
            <w:proofErr w:type="spellEnd"/>
          </w:p>
        </w:tc>
        <w:tc>
          <w:tcPr>
            <w:tcW w:w="2221" w:type="dxa"/>
            <w:shd w:val="clear" w:color="auto" w:fill="auto"/>
            <w:noWrap/>
            <w:vAlign w:val="bottom"/>
          </w:tcPr>
          <w:p w:rsidR="00B4789B" w:rsidRDefault="00B4789B">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3.6</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249</w:t>
            </w:r>
          </w:p>
        </w:tc>
        <w:tc>
          <w:tcPr>
            <w:tcW w:w="1710" w:type="dxa"/>
          </w:tcPr>
          <w:p w:rsidR="00B4789B" w:rsidRDefault="00B4789B" w:rsidP="00B4789B">
            <w:pPr>
              <w:jc w:val="center"/>
              <w:rPr>
                <w:rFonts w:ascii="Verdana" w:hAnsi="Verdana"/>
                <w:color w:val="000000"/>
                <w:sz w:val="16"/>
                <w:szCs w:val="16"/>
              </w:rPr>
            </w:pPr>
            <w:r>
              <w:rPr>
                <w:rFonts w:ascii="Verdana" w:hAnsi="Verdana"/>
                <w:color w:val="000000"/>
                <w:sz w:val="16"/>
                <w:szCs w:val="16"/>
              </w:rPr>
              <w:t>96</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W00049206</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Jacqueline</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Jones</w:t>
            </w:r>
          </w:p>
        </w:tc>
        <w:tc>
          <w:tcPr>
            <w:tcW w:w="2221" w:type="dxa"/>
            <w:shd w:val="clear" w:color="auto" w:fill="auto"/>
            <w:noWrap/>
            <w:vAlign w:val="bottom"/>
          </w:tcPr>
          <w:p w:rsidR="00B4789B" w:rsidRDefault="00B4789B">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3.7</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261</w:t>
            </w:r>
          </w:p>
        </w:tc>
        <w:tc>
          <w:tcPr>
            <w:tcW w:w="1710" w:type="dxa"/>
          </w:tcPr>
          <w:p w:rsidR="00B4789B" w:rsidRDefault="00B4789B">
            <w:pPr>
              <w:jc w:val="center"/>
              <w:rPr>
                <w:rFonts w:ascii="Verdana" w:hAnsi="Verdana"/>
                <w:color w:val="000000"/>
                <w:sz w:val="16"/>
                <w:szCs w:val="16"/>
              </w:rPr>
            </w:pPr>
            <w:r>
              <w:rPr>
                <w:rFonts w:ascii="Verdana" w:hAnsi="Verdana"/>
                <w:color w:val="000000"/>
                <w:sz w:val="16"/>
                <w:szCs w:val="16"/>
              </w:rPr>
              <w:t>96</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W00052338</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Sandra</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Freeland</w:t>
            </w:r>
          </w:p>
        </w:tc>
        <w:tc>
          <w:tcPr>
            <w:tcW w:w="2221" w:type="dxa"/>
            <w:shd w:val="clear" w:color="auto" w:fill="auto"/>
            <w:noWrap/>
            <w:vAlign w:val="bottom"/>
          </w:tcPr>
          <w:p w:rsidR="00B4789B" w:rsidRDefault="00B4789B">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3.4</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244</w:t>
            </w:r>
          </w:p>
        </w:tc>
        <w:tc>
          <w:tcPr>
            <w:tcW w:w="1710" w:type="dxa"/>
          </w:tcPr>
          <w:p w:rsidR="00B4789B" w:rsidRDefault="00B4789B">
            <w:pPr>
              <w:jc w:val="center"/>
              <w:rPr>
                <w:rFonts w:ascii="Verdana" w:hAnsi="Verdana"/>
                <w:color w:val="000000"/>
                <w:sz w:val="16"/>
                <w:szCs w:val="16"/>
              </w:rPr>
            </w:pPr>
            <w:r>
              <w:rPr>
                <w:rFonts w:ascii="Verdana" w:hAnsi="Verdana"/>
                <w:color w:val="000000"/>
                <w:sz w:val="16"/>
                <w:szCs w:val="16"/>
              </w:rPr>
              <w:t>98</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W00056908</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Antoinette</w:t>
            </w:r>
          </w:p>
        </w:tc>
        <w:tc>
          <w:tcPr>
            <w:tcW w:w="1545" w:type="dxa"/>
            <w:vAlign w:val="bottom"/>
          </w:tcPr>
          <w:p w:rsidR="00B4789B" w:rsidRDefault="00B4789B">
            <w:pPr>
              <w:rPr>
                <w:rFonts w:ascii="Calibri" w:hAnsi="Calibri" w:cs="Calibri"/>
                <w:color w:val="000000"/>
                <w:sz w:val="22"/>
                <w:szCs w:val="22"/>
              </w:rPr>
            </w:pPr>
            <w:proofErr w:type="spellStart"/>
            <w:r>
              <w:rPr>
                <w:rFonts w:ascii="Calibri" w:hAnsi="Calibri" w:cs="Calibri"/>
                <w:color w:val="000000"/>
                <w:sz w:val="22"/>
                <w:szCs w:val="22"/>
              </w:rPr>
              <w:t>Arrey</w:t>
            </w:r>
            <w:proofErr w:type="spellEnd"/>
          </w:p>
        </w:tc>
        <w:tc>
          <w:tcPr>
            <w:tcW w:w="2221" w:type="dxa"/>
            <w:shd w:val="clear" w:color="auto" w:fill="auto"/>
            <w:noWrap/>
            <w:vAlign w:val="bottom"/>
          </w:tcPr>
          <w:p w:rsidR="00B4789B" w:rsidRDefault="00B4789B">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252</w:t>
            </w:r>
          </w:p>
        </w:tc>
        <w:tc>
          <w:tcPr>
            <w:tcW w:w="1710" w:type="dxa"/>
          </w:tcPr>
          <w:p w:rsidR="00B4789B" w:rsidRDefault="00B4789B">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W00062897</w:t>
            </w:r>
          </w:p>
        </w:tc>
        <w:tc>
          <w:tcPr>
            <w:tcW w:w="1545" w:type="dxa"/>
            <w:vAlign w:val="bottom"/>
          </w:tcPr>
          <w:p w:rsidR="00B4789B" w:rsidRDefault="00B4789B">
            <w:pPr>
              <w:rPr>
                <w:rFonts w:ascii="Calibri" w:hAnsi="Calibri" w:cs="Calibri"/>
                <w:color w:val="000000"/>
                <w:sz w:val="22"/>
                <w:szCs w:val="22"/>
              </w:rPr>
            </w:pPr>
            <w:proofErr w:type="spellStart"/>
            <w:r>
              <w:rPr>
                <w:rFonts w:ascii="Calibri" w:hAnsi="Calibri" w:cs="Calibri"/>
                <w:color w:val="000000"/>
                <w:sz w:val="22"/>
                <w:szCs w:val="22"/>
              </w:rPr>
              <w:t>Prestine</w:t>
            </w:r>
            <w:proofErr w:type="spellEnd"/>
          </w:p>
        </w:tc>
        <w:tc>
          <w:tcPr>
            <w:tcW w:w="1545" w:type="dxa"/>
            <w:vAlign w:val="bottom"/>
          </w:tcPr>
          <w:p w:rsidR="00B4789B" w:rsidRDefault="00B4789B">
            <w:pPr>
              <w:rPr>
                <w:rFonts w:ascii="Calibri" w:hAnsi="Calibri" w:cs="Calibri"/>
                <w:color w:val="000000"/>
                <w:sz w:val="22"/>
                <w:szCs w:val="22"/>
              </w:rPr>
            </w:pPr>
            <w:proofErr w:type="spellStart"/>
            <w:r>
              <w:rPr>
                <w:rFonts w:ascii="Calibri" w:hAnsi="Calibri" w:cs="Calibri"/>
                <w:color w:val="000000"/>
                <w:sz w:val="22"/>
                <w:szCs w:val="22"/>
              </w:rPr>
              <w:t>Parten</w:t>
            </w:r>
            <w:proofErr w:type="spellEnd"/>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265</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W00073078</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Christine</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Milo</w:t>
            </w:r>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240</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W00073619</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Milton</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Head</w:t>
            </w:r>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4.0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281</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95</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W00073620</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Beth</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Head</w:t>
            </w:r>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4.0</w:t>
            </w:r>
          </w:p>
        </w:tc>
        <w:tc>
          <w:tcPr>
            <w:tcW w:w="1433" w:type="dxa"/>
            <w:shd w:val="clear" w:color="auto" w:fill="auto"/>
          </w:tcPr>
          <w:p w:rsidR="00B4789B" w:rsidRDefault="00B4789B" w:rsidP="00A76A04">
            <w:pPr>
              <w:jc w:val="center"/>
              <w:rPr>
                <w:rFonts w:ascii="Verdana" w:hAnsi="Verdana"/>
                <w:color w:val="000000"/>
                <w:sz w:val="16"/>
                <w:szCs w:val="16"/>
              </w:rPr>
            </w:pPr>
            <w:r>
              <w:rPr>
                <w:rFonts w:ascii="Verdana" w:hAnsi="Verdana"/>
                <w:color w:val="000000"/>
                <w:sz w:val="16"/>
                <w:szCs w:val="16"/>
              </w:rPr>
              <w:t>270</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97</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W00075019</w:t>
            </w:r>
          </w:p>
        </w:tc>
        <w:tc>
          <w:tcPr>
            <w:tcW w:w="1545" w:type="dxa"/>
            <w:vAlign w:val="bottom"/>
          </w:tcPr>
          <w:p w:rsidR="00B4789B" w:rsidRDefault="00B4789B">
            <w:pPr>
              <w:rPr>
                <w:rFonts w:ascii="Calibri" w:hAnsi="Calibri" w:cs="Calibri"/>
                <w:color w:val="000000"/>
                <w:sz w:val="22"/>
                <w:szCs w:val="22"/>
              </w:rPr>
            </w:pPr>
            <w:proofErr w:type="spellStart"/>
            <w:r>
              <w:rPr>
                <w:rFonts w:ascii="Calibri" w:hAnsi="Calibri" w:cs="Calibri"/>
                <w:color w:val="000000"/>
                <w:sz w:val="22"/>
                <w:szCs w:val="22"/>
              </w:rPr>
              <w:t>JoAnna</w:t>
            </w:r>
            <w:proofErr w:type="spellEnd"/>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Cristo</w:t>
            </w:r>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rsidP="00A76A04">
            <w:pPr>
              <w:jc w:val="center"/>
              <w:rPr>
                <w:rFonts w:ascii="Verdana" w:hAnsi="Verdana"/>
                <w:color w:val="000000"/>
                <w:sz w:val="16"/>
                <w:szCs w:val="16"/>
              </w:rPr>
            </w:pPr>
            <w:r>
              <w:rPr>
                <w:rFonts w:ascii="Verdana" w:hAnsi="Verdana"/>
                <w:color w:val="000000"/>
                <w:sz w:val="16"/>
                <w:szCs w:val="16"/>
              </w:rPr>
              <w:t>251</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W00089408</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Roberto</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Rodriguez</w:t>
            </w:r>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Pass</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W00092861</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Sandy</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Hyatt</w:t>
            </w:r>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258</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W00143559</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Brennan</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Morris</w:t>
            </w:r>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3.6</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247</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W00143903</w:t>
            </w:r>
          </w:p>
        </w:tc>
        <w:tc>
          <w:tcPr>
            <w:tcW w:w="1545" w:type="dxa"/>
            <w:vAlign w:val="bottom"/>
          </w:tcPr>
          <w:p w:rsidR="00B4789B" w:rsidRDefault="00B4789B">
            <w:pPr>
              <w:rPr>
                <w:rFonts w:ascii="Calibri" w:hAnsi="Calibri" w:cs="Calibri"/>
                <w:color w:val="000000"/>
                <w:sz w:val="22"/>
                <w:szCs w:val="22"/>
              </w:rPr>
            </w:pPr>
            <w:proofErr w:type="spellStart"/>
            <w:r>
              <w:rPr>
                <w:rFonts w:ascii="Calibri" w:hAnsi="Calibri" w:cs="Calibri"/>
                <w:color w:val="000000"/>
                <w:sz w:val="22"/>
                <w:szCs w:val="22"/>
              </w:rPr>
              <w:t>Sherelyn</w:t>
            </w:r>
            <w:proofErr w:type="spellEnd"/>
          </w:p>
        </w:tc>
        <w:tc>
          <w:tcPr>
            <w:tcW w:w="1545" w:type="dxa"/>
            <w:vAlign w:val="bottom"/>
          </w:tcPr>
          <w:p w:rsidR="00B4789B" w:rsidRDefault="00B4789B">
            <w:pPr>
              <w:rPr>
                <w:rFonts w:ascii="Calibri" w:hAnsi="Calibri" w:cs="Calibri"/>
                <w:color w:val="000000"/>
                <w:sz w:val="22"/>
                <w:szCs w:val="22"/>
              </w:rPr>
            </w:pPr>
            <w:proofErr w:type="spellStart"/>
            <w:r>
              <w:rPr>
                <w:rFonts w:ascii="Calibri" w:hAnsi="Calibri" w:cs="Calibri"/>
                <w:color w:val="000000"/>
                <w:sz w:val="22"/>
                <w:szCs w:val="22"/>
              </w:rPr>
              <w:t>Carattini</w:t>
            </w:r>
            <w:proofErr w:type="spellEnd"/>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264</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W00159842</w:t>
            </w:r>
          </w:p>
        </w:tc>
        <w:tc>
          <w:tcPr>
            <w:tcW w:w="1545" w:type="dxa"/>
            <w:vAlign w:val="bottom"/>
          </w:tcPr>
          <w:p w:rsidR="00B4789B" w:rsidRDefault="00B4789B">
            <w:pPr>
              <w:rPr>
                <w:rFonts w:ascii="Calibri" w:hAnsi="Calibri" w:cs="Calibri"/>
                <w:color w:val="000000"/>
                <w:sz w:val="22"/>
                <w:szCs w:val="22"/>
              </w:rPr>
            </w:pPr>
            <w:proofErr w:type="spellStart"/>
            <w:r>
              <w:rPr>
                <w:rFonts w:ascii="Calibri" w:hAnsi="Calibri" w:cs="Calibri"/>
                <w:color w:val="000000"/>
                <w:sz w:val="22"/>
                <w:szCs w:val="22"/>
              </w:rPr>
              <w:t>Shalyn</w:t>
            </w:r>
            <w:proofErr w:type="spellEnd"/>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Rocha</w:t>
            </w:r>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4.0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240</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100</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W00164987</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Consuelo</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Cuellar</w:t>
            </w:r>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263</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98</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W00165172</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Nancy</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Taranto</w:t>
            </w:r>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4.0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260</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100</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W00169192</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Jill</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Wellington</w:t>
            </w:r>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256</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W00100827</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Reuben</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McCabe</w:t>
            </w:r>
          </w:p>
        </w:tc>
        <w:tc>
          <w:tcPr>
            <w:tcW w:w="2221" w:type="dxa"/>
            <w:shd w:val="clear" w:color="auto" w:fill="auto"/>
            <w:noWrap/>
            <w:vAlign w:val="bottom"/>
          </w:tcPr>
          <w:p w:rsidR="00B4789B" w:rsidRDefault="00B4789B" w:rsidP="00A76A04">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249</w:t>
            </w:r>
          </w:p>
        </w:tc>
        <w:tc>
          <w:tcPr>
            <w:tcW w:w="1710" w:type="dxa"/>
          </w:tcPr>
          <w:p w:rsidR="00B4789B" w:rsidRDefault="00B4789B" w:rsidP="00A76A04">
            <w:pPr>
              <w:jc w:val="center"/>
              <w:rPr>
                <w:rFonts w:ascii="Verdana" w:hAnsi="Verdana"/>
                <w:color w:val="000000"/>
                <w:sz w:val="16"/>
                <w:szCs w:val="16"/>
              </w:rPr>
            </w:pPr>
            <w:r>
              <w:rPr>
                <w:rFonts w:ascii="Verdana" w:hAnsi="Verdana"/>
                <w:color w:val="000000"/>
                <w:sz w:val="16"/>
                <w:szCs w:val="16"/>
              </w:rPr>
              <w:t>Pass</w:t>
            </w:r>
          </w:p>
        </w:tc>
      </w:tr>
      <w:tr w:rsidR="00B4789B" w:rsidTr="00B5736A">
        <w:trPr>
          <w:trHeight w:val="225"/>
        </w:trPr>
        <w:tc>
          <w:tcPr>
            <w:tcW w:w="1546"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W00112716</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Bruce</w:t>
            </w:r>
          </w:p>
        </w:tc>
        <w:tc>
          <w:tcPr>
            <w:tcW w:w="1545" w:type="dxa"/>
            <w:vAlign w:val="bottom"/>
          </w:tcPr>
          <w:p w:rsidR="00B4789B" w:rsidRDefault="00B4789B">
            <w:pPr>
              <w:rPr>
                <w:rFonts w:ascii="Calibri" w:hAnsi="Calibri" w:cs="Calibri"/>
                <w:color w:val="000000"/>
                <w:sz w:val="22"/>
                <w:szCs w:val="22"/>
              </w:rPr>
            </w:pPr>
            <w:r>
              <w:rPr>
                <w:rFonts w:ascii="Calibri" w:hAnsi="Calibri" w:cs="Calibri"/>
                <w:color w:val="000000"/>
                <w:sz w:val="22"/>
                <w:szCs w:val="22"/>
              </w:rPr>
              <w:t>McDermott</w:t>
            </w:r>
          </w:p>
        </w:tc>
        <w:tc>
          <w:tcPr>
            <w:tcW w:w="2221" w:type="dxa"/>
            <w:shd w:val="clear" w:color="auto" w:fill="auto"/>
            <w:noWrap/>
            <w:vAlign w:val="bottom"/>
          </w:tcPr>
          <w:p w:rsidR="00B4789B" w:rsidRDefault="00B4789B">
            <w:pPr>
              <w:rPr>
                <w:rFonts w:ascii="Calibri" w:hAnsi="Calibri"/>
                <w:color w:val="000000"/>
                <w:sz w:val="16"/>
                <w:szCs w:val="16"/>
              </w:rPr>
            </w:pPr>
            <w:r>
              <w:rPr>
                <w:rFonts w:ascii="Calibri" w:hAnsi="Calibri"/>
                <w:color w:val="000000"/>
                <w:sz w:val="16"/>
                <w:szCs w:val="16"/>
              </w:rPr>
              <w:t>Educational Leadership</w:t>
            </w:r>
          </w:p>
        </w:tc>
        <w:tc>
          <w:tcPr>
            <w:tcW w:w="1753" w:type="dxa"/>
            <w:shd w:val="clear" w:color="auto" w:fill="auto"/>
            <w:vAlign w:val="bottom"/>
          </w:tcPr>
          <w:p w:rsidR="00B4789B" w:rsidRDefault="00B4789B">
            <w:pPr>
              <w:jc w:val="center"/>
              <w:rPr>
                <w:rFonts w:ascii="Verdana" w:hAnsi="Verdana"/>
                <w:color w:val="000000"/>
                <w:sz w:val="16"/>
                <w:szCs w:val="16"/>
              </w:rPr>
            </w:pPr>
            <w:r>
              <w:rPr>
                <w:rFonts w:ascii="Verdana" w:hAnsi="Verdana"/>
                <w:color w:val="000000"/>
                <w:sz w:val="16"/>
                <w:szCs w:val="16"/>
              </w:rPr>
              <w:t>Yes</w:t>
            </w:r>
          </w:p>
        </w:tc>
        <w:tc>
          <w:tcPr>
            <w:tcW w:w="1330" w:type="dxa"/>
            <w:shd w:val="clear" w:color="auto" w:fill="auto"/>
            <w:vAlign w:val="bottom"/>
          </w:tcPr>
          <w:p w:rsidR="00B4789B" w:rsidRDefault="00B4789B" w:rsidP="00A76A04">
            <w:pPr>
              <w:jc w:val="center"/>
              <w:rPr>
                <w:rFonts w:ascii="Verdana" w:hAnsi="Verdana"/>
                <w:color w:val="000000"/>
                <w:sz w:val="16"/>
                <w:szCs w:val="16"/>
              </w:rPr>
            </w:pPr>
            <w:r>
              <w:rPr>
                <w:rFonts w:ascii="Verdana" w:hAnsi="Verdana"/>
                <w:color w:val="000000"/>
                <w:sz w:val="16"/>
                <w:szCs w:val="16"/>
              </w:rPr>
              <w:t>3.0</w:t>
            </w:r>
          </w:p>
        </w:tc>
        <w:tc>
          <w:tcPr>
            <w:tcW w:w="1433" w:type="dxa"/>
            <w:shd w:val="clear" w:color="auto" w:fill="auto"/>
          </w:tcPr>
          <w:p w:rsidR="00B4789B" w:rsidRDefault="00B4789B">
            <w:pPr>
              <w:jc w:val="center"/>
              <w:rPr>
                <w:rFonts w:ascii="Verdana" w:hAnsi="Verdana"/>
                <w:color w:val="000000"/>
                <w:sz w:val="16"/>
                <w:szCs w:val="16"/>
              </w:rPr>
            </w:pPr>
            <w:r>
              <w:rPr>
                <w:rFonts w:ascii="Verdana" w:hAnsi="Verdana"/>
                <w:color w:val="000000"/>
                <w:sz w:val="16"/>
                <w:szCs w:val="16"/>
              </w:rPr>
              <w:t>282</w:t>
            </w:r>
          </w:p>
        </w:tc>
        <w:tc>
          <w:tcPr>
            <w:tcW w:w="1710" w:type="dxa"/>
          </w:tcPr>
          <w:p w:rsidR="00B4789B" w:rsidRDefault="00B4789B">
            <w:pPr>
              <w:jc w:val="center"/>
              <w:rPr>
                <w:rFonts w:ascii="Verdana" w:hAnsi="Verdana"/>
                <w:color w:val="000000"/>
                <w:sz w:val="16"/>
                <w:szCs w:val="16"/>
              </w:rPr>
            </w:pPr>
            <w:r>
              <w:rPr>
                <w:rFonts w:ascii="Verdana" w:hAnsi="Verdana"/>
                <w:color w:val="000000"/>
                <w:sz w:val="16"/>
                <w:szCs w:val="16"/>
              </w:rPr>
              <w:t>Pass</w:t>
            </w:r>
          </w:p>
        </w:tc>
      </w:tr>
    </w:tbl>
    <w:p w:rsidR="003A6764" w:rsidRDefault="003A6764" w:rsidP="00497347">
      <w:pPr>
        <w:spacing w:after="240"/>
        <w:rPr>
          <w:color w:val="000000"/>
        </w:rPr>
      </w:pPr>
    </w:p>
    <w:p w:rsidR="00497347" w:rsidRPr="00CD1659" w:rsidRDefault="00497347" w:rsidP="00CD1659">
      <w:pPr>
        <w:pStyle w:val="ListParagraph"/>
        <w:numPr>
          <w:ilvl w:val="0"/>
          <w:numId w:val="2"/>
        </w:numPr>
        <w:spacing w:after="240"/>
        <w:ind w:left="360"/>
        <w:rPr>
          <w:b/>
          <w:bCs/>
          <w:color w:val="000000"/>
        </w:rPr>
      </w:pPr>
      <w:r w:rsidRPr="00CD1659">
        <w:rPr>
          <w:b/>
          <w:bCs/>
          <w:color w:val="000000"/>
        </w:rPr>
        <w:t xml:space="preserve">What are your performance results for learning support processes (advising, library and laboratory use, etc.)? </w:t>
      </w:r>
    </w:p>
    <w:p w:rsidR="00497347" w:rsidRPr="00497347" w:rsidRDefault="00497347" w:rsidP="00497347">
      <w:pPr>
        <w:spacing w:after="240"/>
        <w:rPr>
          <w:color w:val="000000"/>
        </w:rPr>
      </w:pPr>
      <w:r w:rsidRPr="00497347">
        <w:rPr>
          <w:color w:val="000000"/>
        </w:rPr>
        <w:t xml:space="preserve">Faculty meet </w:t>
      </w:r>
      <w:r w:rsidR="00B63761">
        <w:rPr>
          <w:color w:val="000000"/>
        </w:rPr>
        <w:t xml:space="preserve">with </w:t>
      </w:r>
      <w:r w:rsidRPr="00497347">
        <w:rPr>
          <w:color w:val="000000"/>
        </w:rPr>
        <w:t xml:space="preserve">students for advising at least two times a year. Advising is essential for </w:t>
      </w:r>
      <w:r w:rsidR="00F5146A">
        <w:rPr>
          <w:color w:val="000000"/>
        </w:rPr>
        <w:t>College</w:t>
      </w:r>
      <w:r w:rsidRPr="00497347">
        <w:rPr>
          <w:color w:val="000000"/>
        </w:rPr>
        <w:t xml:space="preserve"> of Education students</w:t>
      </w:r>
      <w:r w:rsidR="00B63761">
        <w:rPr>
          <w:color w:val="000000"/>
        </w:rPr>
        <w:t>, especially</w:t>
      </w:r>
      <w:r w:rsidRPr="00497347">
        <w:rPr>
          <w:color w:val="000000"/>
        </w:rPr>
        <w:t xml:space="preserve"> if they are working to achieve licensure. Individual </w:t>
      </w:r>
      <w:proofErr w:type="gramStart"/>
      <w:r w:rsidRPr="00497347">
        <w:rPr>
          <w:color w:val="000000"/>
        </w:rPr>
        <w:t xml:space="preserve">faculty </w:t>
      </w:r>
      <w:r w:rsidR="00B63761">
        <w:rPr>
          <w:color w:val="000000"/>
        </w:rPr>
        <w:t>provide</w:t>
      </w:r>
      <w:proofErr w:type="gramEnd"/>
      <w:r w:rsidRPr="00497347">
        <w:rPr>
          <w:color w:val="000000"/>
        </w:rPr>
        <w:t xml:space="preserve"> instructional opportunities within the library</w:t>
      </w:r>
      <w:r w:rsidR="004764DC">
        <w:rPr>
          <w:color w:val="000000"/>
        </w:rPr>
        <w:t>;</w:t>
      </w:r>
      <w:r w:rsidRPr="00497347">
        <w:rPr>
          <w:color w:val="000000"/>
        </w:rPr>
        <w:t xml:space="preserve"> most students are able to meet expectations or operate above expectations with library resources before graduating.</w:t>
      </w:r>
    </w:p>
    <w:p w:rsidR="00497347" w:rsidRPr="00497347" w:rsidRDefault="00497347" w:rsidP="00CD1659">
      <w:pPr>
        <w:pStyle w:val="ListParagraph"/>
        <w:numPr>
          <w:ilvl w:val="0"/>
          <w:numId w:val="2"/>
        </w:numPr>
        <w:spacing w:after="240"/>
        <w:ind w:left="360"/>
        <w:rPr>
          <w:b/>
          <w:bCs/>
          <w:color w:val="000000"/>
        </w:rPr>
      </w:pPr>
      <w:r w:rsidRPr="00497347">
        <w:rPr>
          <w:b/>
          <w:bCs/>
          <w:color w:val="000000"/>
        </w:rPr>
        <w:t xml:space="preserve">How do your results for the performance of your processes in Helping Students Learn compare with the results of other higher education organizations and, where appropriate, with results of organizations outside of higher education? </w:t>
      </w:r>
    </w:p>
    <w:p w:rsidR="003F2F46" w:rsidRPr="00710BB2" w:rsidRDefault="00C86D88" w:rsidP="00710BB2">
      <w:pPr>
        <w:spacing w:after="240"/>
        <w:rPr>
          <w:color w:val="000000"/>
        </w:rPr>
      </w:pPr>
      <w:r>
        <w:rPr>
          <w:color w:val="000000"/>
        </w:rPr>
        <w:t xml:space="preserve">We are comparable and usually exceed the results from other state </w:t>
      </w:r>
      <w:r w:rsidR="00A97828">
        <w:rPr>
          <w:color w:val="000000"/>
        </w:rPr>
        <w:t>institutions as</w:t>
      </w:r>
      <w:r w:rsidR="009418B1">
        <w:rPr>
          <w:color w:val="000000"/>
        </w:rPr>
        <w:t xml:space="preserve"> indicated by our state and NCATE reaccreditation.</w:t>
      </w:r>
      <w:bookmarkStart w:id="3" w:name="RANGE!A1:A6"/>
      <w:r w:rsidR="003F2F46">
        <w:rPr>
          <w:b/>
          <w:bCs/>
          <w:color w:val="000000"/>
        </w:rPr>
        <w:br w:type="page"/>
      </w:r>
    </w:p>
    <w:p w:rsidR="00497347" w:rsidRPr="00497347" w:rsidRDefault="00497347" w:rsidP="00497347">
      <w:pPr>
        <w:pBdr>
          <w:bottom w:val="single" w:sz="4" w:space="1" w:color="auto"/>
        </w:pBdr>
        <w:spacing w:after="240"/>
        <w:rPr>
          <w:b/>
          <w:bCs/>
          <w:color w:val="000000"/>
        </w:rPr>
      </w:pPr>
      <w:r w:rsidRPr="00497347">
        <w:rPr>
          <w:b/>
          <w:bCs/>
          <w:color w:val="000000"/>
        </w:rPr>
        <w:t>Improvement</w:t>
      </w:r>
      <w:bookmarkEnd w:id="3"/>
    </w:p>
    <w:p w:rsidR="00497347" w:rsidRPr="00CD1659" w:rsidRDefault="00497347" w:rsidP="00CD1659">
      <w:pPr>
        <w:pStyle w:val="ListParagraph"/>
        <w:numPr>
          <w:ilvl w:val="0"/>
          <w:numId w:val="6"/>
        </w:numPr>
        <w:spacing w:after="240"/>
        <w:ind w:left="360"/>
        <w:rPr>
          <w:b/>
          <w:bCs/>
          <w:color w:val="000000"/>
        </w:rPr>
      </w:pPr>
      <w:r w:rsidRPr="00CD1659">
        <w:rPr>
          <w:b/>
          <w:bCs/>
          <w:color w:val="000000"/>
        </w:rPr>
        <w:t xml:space="preserve">What recent improvements have you made in this category? How systematic and comprehensive are your processes and performance results for Helping Students Learn? </w:t>
      </w:r>
    </w:p>
    <w:p w:rsidR="00497347" w:rsidRPr="00A3278C" w:rsidRDefault="00497347" w:rsidP="00497347">
      <w:pPr>
        <w:spacing w:after="240"/>
        <w:rPr>
          <w:color w:val="000000"/>
        </w:rPr>
      </w:pPr>
      <w:r w:rsidRPr="00A3278C">
        <w:rPr>
          <w:color w:val="000000"/>
        </w:rPr>
        <w:t>We are moving toward storing all data electronically, so it can easily be retrieved for analysis and review with students, faculty,</w:t>
      </w:r>
      <w:r w:rsidR="00634E95" w:rsidRPr="00A3278C">
        <w:rPr>
          <w:color w:val="000000"/>
        </w:rPr>
        <w:t xml:space="preserve"> programs, and unit.</w:t>
      </w:r>
      <w:r w:rsidR="00AE0154" w:rsidRPr="00A3278C">
        <w:rPr>
          <w:color w:val="000000"/>
        </w:rPr>
        <w:t xml:space="preserve"> We have purchased a licensing agreement with TK20 to expedite this process.</w:t>
      </w:r>
      <w:r w:rsidR="00A3278C">
        <w:rPr>
          <w:color w:val="000000"/>
        </w:rPr>
        <w:t xml:space="preserve"> </w:t>
      </w:r>
      <w:r w:rsidR="00634E95" w:rsidRPr="00A3278C">
        <w:rPr>
          <w:color w:val="000000"/>
        </w:rPr>
        <w:t>We are</w:t>
      </w:r>
      <w:r w:rsidR="009418B1" w:rsidRPr="00A3278C">
        <w:rPr>
          <w:color w:val="000000"/>
        </w:rPr>
        <w:t xml:space="preserve"> </w:t>
      </w:r>
      <w:r w:rsidR="004D35D3">
        <w:rPr>
          <w:color w:val="000000"/>
        </w:rPr>
        <w:t>implementing</w:t>
      </w:r>
      <w:r w:rsidRPr="00A3278C">
        <w:rPr>
          <w:color w:val="000000"/>
        </w:rPr>
        <w:t xml:space="preserve"> electronic </w:t>
      </w:r>
      <w:r w:rsidR="004D35D3">
        <w:rPr>
          <w:color w:val="000000"/>
        </w:rPr>
        <w:t>collection of assessment data</w:t>
      </w:r>
      <w:r w:rsidRPr="00A3278C">
        <w:rPr>
          <w:color w:val="000000"/>
        </w:rPr>
        <w:t>, allowing us to provide students more immediate and responsive feedback.</w:t>
      </w:r>
      <w:r w:rsidR="00A3278C">
        <w:rPr>
          <w:color w:val="000000"/>
        </w:rPr>
        <w:t xml:space="preserve"> </w:t>
      </w:r>
      <w:r w:rsidRPr="00A3278C">
        <w:rPr>
          <w:color w:val="000000"/>
        </w:rPr>
        <w:t>We have reworked the applications for each program, assuring that they are easy to understand and align with state requirements.</w:t>
      </w:r>
      <w:r w:rsidR="00A3278C">
        <w:rPr>
          <w:color w:val="000000"/>
        </w:rPr>
        <w:t xml:space="preserve"> </w:t>
      </w:r>
    </w:p>
    <w:p w:rsidR="00497347" w:rsidRPr="00497347" w:rsidRDefault="00497347" w:rsidP="00CD1659">
      <w:pPr>
        <w:pStyle w:val="ListParagraph"/>
        <w:numPr>
          <w:ilvl w:val="0"/>
          <w:numId w:val="6"/>
        </w:numPr>
        <w:spacing w:after="240"/>
        <w:ind w:left="360"/>
        <w:rPr>
          <w:b/>
          <w:bCs/>
          <w:color w:val="000000"/>
        </w:rPr>
      </w:pPr>
      <w:r w:rsidRPr="00497347">
        <w:rPr>
          <w:b/>
          <w:bCs/>
          <w:color w:val="000000"/>
        </w:rPr>
        <w:t>How do your culture and infrastructure help you to select specific processes to improve and to set targets for improved performance results in Helping Students Learn?</w:t>
      </w:r>
    </w:p>
    <w:p w:rsidR="00497347" w:rsidRPr="00497347" w:rsidRDefault="00497347" w:rsidP="00497347">
      <w:pPr>
        <w:spacing w:after="240"/>
        <w:rPr>
          <w:color w:val="000000"/>
        </w:rPr>
      </w:pPr>
      <w:r w:rsidRPr="00497347">
        <w:rPr>
          <w:color w:val="000000"/>
        </w:rPr>
        <w:t xml:space="preserve">The </w:t>
      </w:r>
      <w:r w:rsidR="00F5146A">
        <w:rPr>
          <w:color w:val="000000"/>
        </w:rPr>
        <w:t>College</w:t>
      </w:r>
      <w:r w:rsidRPr="00497347">
        <w:rPr>
          <w:color w:val="000000"/>
        </w:rPr>
        <w:t xml:space="preserve"> of Education has developed a culture of assessment over the last </w:t>
      </w:r>
      <w:r w:rsidR="00D95AAB">
        <w:rPr>
          <w:color w:val="000000"/>
        </w:rPr>
        <w:t>seven</w:t>
      </w:r>
      <w:r w:rsidRPr="00497347">
        <w:rPr>
          <w:color w:val="000000"/>
        </w:rPr>
        <w:t xml:space="preserve"> years. Monitoring data are collected, reviewed, and analyzed on an annual basis. Data retreats are conducted three times each year. Faculty review Entry Data in January, Midpoint Monitoring Data in May, and Exit Monitoring Data in August. Additionally, the </w:t>
      </w:r>
      <w:r w:rsidR="00F5146A">
        <w:rPr>
          <w:color w:val="000000"/>
        </w:rPr>
        <w:t>College</w:t>
      </w:r>
      <w:r w:rsidRPr="00497347">
        <w:rPr>
          <w:color w:val="000000"/>
        </w:rPr>
        <w:t xml:space="preserve"> of Education meets monthly to address assessment issues, as well as individual program and student issues. Through this assessment plan</w:t>
      </w:r>
      <w:r w:rsidR="001D0503">
        <w:rPr>
          <w:color w:val="000000"/>
        </w:rPr>
        <w:t>,</w:t>
      </w:r>
      <w:r w:rsidRPr="00497347">
        <w:rPr>
          <w:color w:val="000000"/>
        </w:rPr>
        <w:t xml:space="preserve"> we are able to quickly identify areas in need of improvement and better meet the needs of individual students.</w:t>
      </w:r>
    </w:p>
    <w:p w:rsidR="0085050D" w:rsidRPr="00497347" w:rsidRDefault="0085050D" w:rsidP="00497347">
      <w:pPr>
        <w:spacing w:after="240"/>
        <w:rPr>
          <w:color w:val="000000"/>
        </w:rPr>
      </w:pPr>
    </w:p>
    <w:sectPr w:rsidR="0085050D" w:rsidRPr="00497347" w:rsidSect="00497347">
      <w:footerReference w:type="default" r:id="rId9"/>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5A" w:rsidRDefault="00FF2A5A" w:rsidP="00497347">
      <w:r>
        <w:separator/>
      </w:r>
    </w:p>
  </w:endnote>
  <w:endnote w:type="continuationSeparator" w:id="0">
    <w:p w:rsidR="00FF2A5A" w:rsidRDefault="00FF2A5A" w:rsidP="0049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110"/>
      <w:docPartObj>
        <w:docPartGallery w:val="Page Numbers (Bottom of Page)"/>
        <w:docPartUnique/>
      </w:docPartObj>
    </w:sdtPr>
    <w:sdtEndPr/>
    <w:sdtContent>
      <w:p w:rsidR="008465D8" w:rsidRDefault="000261F1">
        <w:pPr>
          <w:pStyle w:val="Footer"/>
        </w:pPr>
        <w:r>
          <w:fldChar w:fldCharType="begin"/>
        </w:r>
        <w:r>
          <w:instrText xml:space="preserve"> PAGE   \* MERGEFORMAT </w:instrText>
        </w:r>
        <w:r>
          <w:fldChar w:fldCharType="separate"/>
        </w:r>
        <w:r w:rsidR="00D95AAB">
          <w:rPr>
            <w:noProof/>
          </w:rPr>
          <w:t>11</w:t>
        </w:r>
        <w:r>
          <w:rPr>
            <w:noProof/>
          </w:rPr>
          <w:fldChar w:fldCharType="end"/>
        </w:r>
      </w:p>
    </w:sdtContent>
  </w:sdt>
  <w:p w:rsidR="008465D8" w:rsidRDefault="00846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5A" w:rsidRDefault="00FF2A5A" w:rsidP="00497347">
      <w:r>
        <w:separator/>
      </w:r>
    </w:p>
  </w:footnote>
  <w:footnote w:type="continuationSeparator" w:id="0">
    <w:p w:rsidR="00FF2A5A" w:rsidRDefault="00FF2A5A" w:rsidP="00497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AA7"/>
    <w:multiLevelType w:val="hybridMultilevel"/>
    <w:tmpl w:val="593CC88E"/>
    <w:lvl w:ilvl="0" w:tplc="4F2E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A3C3B"/>
    <w:multiLevelType w:val="hybridMultilevel"/>
    <w:tmpl w:val="53FEA29E"/>
    <w:lvl w:ilvl="0" w:tplc="7D90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D339D"/>
    <w:multiLevelType w:val="hybridMultilevel"/>
    <w:tmpl w:val="ADF411D6"/>
    <w:lvl w:ilvl="0" w:tplc="B3182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E2457"/>
    <w:multiLevelType w:val="hybridMultilevel"/>
    <w:tmpl w:val="B35A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86089"/>
    <w:multiLevelType w:val="hybridMultilevel"/>
    <w:tmpl w:val="6100C480"/>
    <w:lvl w:ilvl="0" w:tplc="B3182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6D1D2B"/>
    <w:multiLevelType w:val="hybridMultilevel"/>
    <w:tmpl w:val="563A77CA"/>
    <w:lvl w:ilvl="0" w:tplc="1D00F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2016A"/>
    <w:multiLevelType w:val="hybridMultilevel"/>
    <w:tmpl w:val="B5AC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0D"/>
    <w:rsid w:val="00000BEA"/>
    <w:rsid w:val="00003DC4"/>
    <w:rsid w:val="000261F1"/>
    <w:rsid w:val="00041BCF"/>
    <w:rsid w:val="00046578"/>
    <w:rsid w:val="00050593"/>
    <w:rsid w:val="00077256"/>
    <w:rsid w:val="000971CF"/>
    <w:rsid w:val="00097591"/>
    <w:rsid w:val="000C3FA0"/>
    <w:rsid w:val="000D003E"/>
    <w:rsid w:val="00104E70"/>
    <w:rsid w:val="0013461B"/>
    <w:rsid w:val="00144E9F"/>
    <w:rsid w:val="00151E49"/>
    <w:rsid w:val="0015553C"/>
    <w:rsid w:val="001639FA"/>
    <w:rsid w:val="00187CA5"/>
    <w:rsid w:val="001D0503"/>
    <w:rsid w:val="001D6307"/>
    <w:rsid w:val="001E564C"/>
    <w:rsid w:val="001F1FED"/>
    <w:rsid w:val="001F46C8"/>
    <w:rsid w:val="00247F58"/>
    <w:rsid w:val="00256C8C"/>
    <w:rsid w:val="00262979"/>
    <w:rsid w:val="00263D56"/>
    <w:rsid w:val="00271EE5"/>
    <w:rsid w:val="00280BC0"/>
    <w:rsid w:val="00281F01"/>
    <w:rsid w:val="002D1391"/>
    <w:rsid w:val="002E17D4"/>
    <w:rsid w:val="002E496D"/>
    <w:rsid w:val="002F1B6D"/>
    <w:rsid w:val="002F400A"/>
    <w:rsid w:val="0030551E"/>
    <w:rsid w:val="00356835"/>
    <w:rsid w:val="00383768"/>
    <w:rsid w:val="003938B9"/>
    <w:rsid w:val="0039730B"/>
    <w:rsid w:val="003A2DD1"/>
    <w:rsid w:val="003A6764"/>
    <w:rsid w:val="003A7ACB"/>
    <w:rsid w:val="003C7BD5"/>
    <w:rsid w:val="003D0056"/>
    <w:rsid w:val="003F0291"/>
    <w:rsid w:val="003F2F46"/>
    <w:rsid w:val="00430DD5"/>
    <w:rsid w:val="00444BF2"/>
    <w:rsid w:val="0045725D"/>
    <w:rsid w:val="00467B2B"/>
    <w:rsid w:val="004751FD"/>
    <w:rsid w:val="004764DC"/>
    <w:rsid w:val="004957E8"/>
    <w:rsid w:val="00497347"/>
    <w:rsid w:val="004A0BEC"/>
    <w:rsid w:val="004A3EDE"/>
    <w:rsid w:val="004C319C"/>
    <w:rsid w:val="004D35D3"/>
    <w:rsid w:val="00507F21"/>
    <w:rsid w:val="00516639"/>
    <w:rsid w:val="005177CD"/>
    <w:rsid w:val="00523DD8"/>
    <w:rsid w:val="00532A46"/>
    <w:rsid w:val="005331C5"/>
    <w:rsid w:val="00553C86"/>
    <w:rsid w:val="00557E8D"/>
    <w:rsid w:val="005608B0"/>
    <w:rsid w:val="00576525"/>
    <w:rsid w:val="00584A9B"/>
    <w:rsid w:val="00595DDF"/>
    <w:rsid w:val="005B51C3"/>
    <w:rsid w:val="005E423D"/>
    <w:rsid w:val="005E4B95"/>
    <w:rsid w:val="005E597D"/>
    <w:rsid w:val="00611EC1"/>
    <w:rsid w:val="00614821"/>
    <w:rsid w:val="006204B3"/>
    <w:rsid w:val="00634E95"/>
    <w:rsid w:val="006406AC"/>
    <w:rsid w:val="00650036"/>
    <w:rsid w:val="0065004D"/>
    <w:rsid w:val="00651A7C"/>
    <w:rsid w:val="0065216D"/>
    <w:rsid w:val="00682CDE"/>
    <w:rsid w:val="006E6BE1"/>
    <w:rsid w:val="00710BB2"/>
    <w:rsid w:val="00720B61"/>
    <w:rsid w:val="00750F22"/>
    <w:rsid w:val="007615DD"/>
    <w:rsid w:val="00791534"/>
    <w:rsid w:val="007D1869"/>
    <w:rsid w:val="007D6741"/>
    <w:rsid w:val="007E10C2"/>
    <w:rsid w:val="00817148"/>
    <w:rsid w:val="0083659B"/>
    <w:rsid w:val="008465D8"/>
    <w:rsid w:val="0085050D"/>
    <w:rsid w:val="008655DA"/>
    <w:rsid w:val="00872AD9"/>
    <w:rsid w:val="00873D9E"/>
    <w:rsid w:val="00883B0E"/>
    <w:rsid w:val="00890137"/>
    <w:rsid w:val="00893351"/>
    <w:rsid w:val="00895313"/>
    <w:rsid w:val="008B2BFF"/>
    <w:rsid w:val="00905F08"/>
    <w:rsid w:val="009172E5"/>
    <w:rsid w:val="009276DA"/>
    <w:rsid w:val="00941826"/>
    <w:rsid w:val="009418B1"/>
    <w:rsid w:val="00941DC6"/>
    <w:rsid w:val="009433D3"/>
    <w:rsid w:val="00943908"/>
    <w:rsid w:val="00956F08"/>
    <w:rsid w:val="00981009"/>
    <w:rsid w:val="009A5294"/>
    <w:rsid w:val="009B30D6"/>
    <w:rsid w:val="009B5FE0"/>
    <w:rsid w:val="009E206B"/>
    <w:rsid w:val="009E3156"/>
    <w:rsid w:val="009F6B4B"/>
    <w:rsid w:val="00A3278C"/>
    <w:rsid w:val="00A338CE"/>
    <w:rsid w:val="00A65799"/>
    <w:rsid w:val="00A6715F"/>
    <w:rsid w:val="00A70D0B"/>
    <w:rsid w:val="00A77E1E"/>
    <w:rsid w:val="00A97828"/>
    <w:rsid w:val="00AA63F9"/>
    <w:rsid w:val="00AB72FA"/>
    <w:rsid w:val="00AB78AF"/>
    <w:rsid w:val="00AD5BC1"/>
    <w:rsid w:val="00AD5C97"/>
    <w:rsid w:val="00AE0154"/>
    <w:rsid w:val="00AE3FEC"/>
    <w:rsid w:val="00B03C94"/>
    <w:rsid w:val="00B06200"/>
    <w:rsid w:val="00B13B47"/>
    <w:rsid w:val="00B34F9A"/>
    <w:rsid w:val="00B4789B"/>
    <w:rsid w:val="00B63761"/>
    <w:rsid w:val="00B648A7"/>
    <w:rsid w:val="00B77167"/>
    <w:rsid w:val="00B80253"/>
    <w:rsid w:val="00BE4834"/>
    <w:rsid w:val="00BF717B"/>
    <w:rsid w:val="00C22F10"/>
    <w:rsid w:val="00C3076D"/>
    <w:rsid w:val="00C41542"/>
    <w:rsid w:val="00C4443D"/>
    <w:rsid w:val="00C5348E"/>
    <w:rsid w:val="00C62F7C"/>
    <w:rsid w:val="00C86D88"/>
    <w:rsid w:val="00CA350A"/>
    <w:rsid w:val="00CA6C66"/>
    <w:rsid w:val="00CB7F2A"/>
    <w:rsid w:val="00CC4099"/>
    <w:rsid w:val="00CD1659"/>
    <w:rsid w:val="00D10EB4"/>
    <w:rsid w:val="00D321B1"/>
    <w:rsid w:val="00D34482"/>
    <w:rsid w:val="00D36D5B"/>
    <w:rsid w:val="00D41311"/>
    <w:rsid w:val="00D61B9F"/>
    <w:rsid w:val="00D67A36"/>
    <w:rsid w:val="00D83B15"/>
    <w:rsid w:val="00D95AAB"/>
    <w:rsid w:val="00E233D5"/>
    <w:rsid w:val="00E35B98"/>
    <w:rsid w:val="00E53954"/>
    <w:rsid w:val="00E5536F"/>
    <w:rsid w:val="00E564B9"/>
    <w:rsid w:val="00E62C3A"/>
    <w:rsid w:val="00E62CA1"/>
    <w:rsid w:val="00ED33D7"/>
    <w:rsid w:val="00ED40FA"/>
    <w:rsid w:val="00F10501"/>
    <w:rsid w:val="00F23D79"/>
    <w:rsid w:val="00F300CD"/>
    <w:rsid w:val="00F4446C"/>
    <w:rsid w:val="00F5146A"/>
    <w:rsid w:val="00F82842"/>
    <w:rsid w:val="00F84B82"/>
    <w:rsid w:val="00F84C7B"/>
    <w:rsid w:val="00F9310E"/>
    <w:rsid w:val="00F96F1A"/>
    <w:rsid w:val="00FE476C"/>
    <w:rsid w:val="00FE5177"/>
    <w:rsid w:val="00FF2A5A"/>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21"/>
    <w:rPr>
      <w:sz w:val="24"/>
      <w:szCs w:val="24"/>
    </w:rPr>
  </w:style>
  <w:style w:type="paragraph" w:styleId="Heading1">
    <w:name w:val="heading 1"/>
    <w:basedOn w:val="Normal"/>
    <w:next w:val="Normal"/>
    <w:link w:val="Heading1Char"/>
    <w:qFormat/>
    <w:rsid w:val="00614821"/>
    <w:pPr>
      <w:keepNext/>
      <w:outlineLvl w:val="0"/>
    </w:pPr>
    <w:rPr>
      <w:rFonts w:ascii="Arial" w:eastAsia="Times" w:hAnsi="Arial" w:cs="Arial"/>
      <w:b/>
      <w:color w:val="000000"/>
      <w:szCs w:val="20"/>
    </w:rPr>
  </w:style>
  <w:style w:type="paragraph" w:styleId="Heading2">
    <w:name w:val="heading 2"/>
    <w:basedOn w:val="Normal"/>
    <w:next w:val="Normal"/>
    <w:link w:val="Heading2Char"/>
    <w:qFormat/>
    <w:rsid w:val="00614821"/>
    <w:pPr>
      <w:keepNext/>
      <w:jc w:val="center"/>
      <w:outlineLvl w:val="1"/>
    </w:pPr>
    <w:rPr>
      <w:rFonts w:ascii="Arial" w:eastAsiaTheme="majorEastAsia" w:hAnsi="Arial" w:cs="Arial"/>
      <w:b/>
    </w:rPr>
  </w:style>
  <w:style w:type="paragraph" w:styleId="Heading3">
    <w:name w:val="heading 3"/>
    <w:basedOn w:val="Normal"/>
    <w:next w:val="Normal"/>
    <w:link w:val="Heading3Char"/>
    <w:semiHidden/>
    <w:unhideWhenUsed/>
    <w:qFormat/>
    <w:rsid w:val="00AD5C9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4821"/>
    <w:rPr>
      <w:rFonts w:ascii="Arial" w:eastAsiaTheme="majorEastAsia" w:hAnsi="Arial" w:cs="Arial"/>
      <w:b/>
      <w:sz w:val="24"/>
      <w:szCs w:val="24"/>
    </w:rPr>
  </w:style>
  <w:style w:type="character" w:customStyle="1" w:styleId="Heading3Char">
    <w:name w:val="Heading 3 Char"/>
    <w:basedOn w:val="DefaultParagraphFont"/>
    <w:link w:val="Heading3"/>
    <w:semiHidden/>
    <w:rsid w:val="00AD5C97"/>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rsid w:val="00614821"/>
    <w:rPr>
      <w:rFonts w:ascii="Arial" w:eastAsia="Times" w:hAnsi="Arial" w:cs="Arial"/>
      <w:b/>
      <w:color w:val="000000"/>
      <w:sz w:val="24"/>
    </w:rPr>
  </w:style>
  <w:style w:type="paragraph" w:styleId="Title">
    <w:name w:val="Title"/>
    <w:basedOn w:val="Normal"/>
    <w:link w:val="TitleChar"/>
    <w:qFormat/>
    <w:rsid w:val="00614821"/>
    <w:pPr>
      <w:jc w:val="center"/>
    </w:pPr>
    <w:rPr>
      <w:rFonts w:ascii="Arial" w:hAnsi="Arial" w:cs="Arial"/>
      <w:b/>
    </w:rPr>
  </w:style>
  <w:style w:type="character" w:customStyle="1" w:styleId="TitleChar">
    <w:name w:val="Title Char"/>
    <w:basedOn w:val="DefaultParagraphFont"/>
    <w:link w:val="Title"/>
    <w:rsid w:val="00614821"/>
    <w:rPr>
      <w:rFonts w:ascii="Arial" w:hAnsi="Arial" w:cs="Arial"/>
      <w:b/>
      <w:sz w:val="24"/>
      <w:szCs w:val="24"/>
    </w:rPr>
  </w:style>
  <w:style w:type="character" w:styleId="Strong">
    <w:name w:val="Strong"/>
    <w:basedOn w:val="DefaultParagraphFont"/>
    <w:qFormat/>
    <w:rsid w:val="00614821"/>
    <w:rPr>
      <w:b/>
      <w:bCs/>
    </w:rPr>
  </w:style>
  <w:style w:type="character" w:styleId="Emphasis">
    <w:name w:val="Emphasis"/>
    <w:basedOn w:val="DefaultParagraphFont"/>
    <w:uiPriority w:val="20"/>
    <w:qFormat/>
    <w:rsid w:val="00614821"/>
    <w:rPr>
      <w:i/>
      <w:iCs/>
    </w:rPr>
  </w:style>
  <w:style w:type="table" w:styleId="TableGrid">
    <w:name w:val="Table Grid"/>
    <w:basedOn w:val="TableNormal"/>
    <w:uiPriority w:val="59"/>
    <w:rsid w:val="008505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7347"/>
    <w:pPr>
      <w:tabs>
        <w:tab w:val="center" w:pos="4680"/>
        <w:tab w:val="right" w:pos="9360"/>
      </w:tabs>
    </w:pPr>
  </w:style>
  <w:style w:type="character" w:customStyle="1" w:styleId="HeaderChar">
    <w:name w:val="Header Char"/>
    <w:basedOn w:val="DefaultParagraphFont"/>
    <w:link w:val="Header"/>
    <w:uiPriority w:val="99"/>
    <w:semiHidden/>
    <w:rsid w:val="00497347"/>
    <w:rPr>
      <w:sz w:val="24"/>
      <w:szCs w:val="24"/>
    </w:rPr>
  </w:style>
  <w:style w:type="paragraph" w:styleId="Footer">
    <w:name w:val="footer"/>
    <w:basedOn w:val="Normal"/>
    <w:link w:val="FooterChar"/>
    <w:uiPriority w:val="99"/>
    <w:unhideWhenUsed/>
    <w:rsid w:val="00497347"/>
    <w:pPr>
      <w:tabs>
        <w:tab w:val="center" w:pos="4680"/>
        <w:tab w:val="right" w:pos="9360"/>
      </w:tabs>
    </w:pPr>
  </w:style>
  <w:style w:type="character" w:customStyle="1" w:styleId="FooterChar">
    <w:name w:val="Footer Char"/>
    <w:basedOn w:val="DefaultParagraphFont"/>
    <w:link w:val="Footer"/>
    <w:uiPriority w:val="99"/>
    <w:rsid w:val="00497347"/>
    <w:rPr>
      <w:sz w:val="24"/>
      <w:szCs w:val="24"/>
    </w:rPr>
  </w:style>
  <w:style w:type="paragraph" w:styleId="ListParagraph">
    <w:name w:val="List Paragraph"/>
    <w:basedOn w:val="Normal"/>
    <w:uiPriority w:val="34"/>
    <w:qFormat/>
    <w:rsid w:val="00CD1659"/>
    <w:pPr>
      <w:ind w:left="720"/>
      <w:contextualSpacing/>
    </w:pPr>
  </w:style>
  <w:style w:type="paragraph" w:styleId="BalloonText">
    <w:name w:val="Balloon Text"/>
    <w:basedOn w:val="Normal"/>
    <w:link w:val="BalloonTextChar"/>
    <w:uiPriority w:val="99"/>
    <w:semiHidden/>
    <w:unhideWhenUsed/>
    <w:rsid w:val="00C3076D"/>
    <w:rPr>
      <w:rFonts w:ascii="Tahoma" w:hAnsi="Tahoma" w:cs="Tahoma"/>
      <w:sz w:val="16"/>
      <w:szCs w:val="16"/>
    </w:rPr>
  </w:style>
  <w:style w:type="character" w:customStyle="1" w:styleId="BalloonTextChar">
    <w:name w:val="Balloon Text Char"/>
    <w:basedOn w:val="DefaultParagraphFont"/>
    <w:link w:val="BalloonText"/>
    <w:uiPriority w:val="99"/>
    <w:semiHidden/>
    <w:rsid w:val="00C3076D"/>
    <w:rPr>
      <w:rFonts w:ascii="Tahoma" w:hAnsi="Tahoma" w:cs="Tahoma"/>
      <w:sz w:val="16"/>
      <w:szCs w:val="16"/>
    </w:rPr>
  </w:style>
  <w:style w:type="character" w:customStyle="1" w:styleId="apple-converted-space">
    <w:name w:val="apple-converted-space"/>
    <w:basedOn w:val="DefaultParagraphFont"/>
    <w:rsid w:val="00640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21"/>
    <w:rPr>
      <w:sz w:val="24"/>
      <w:szCs w:val="24"/>
    </w:rPr>
  </w:style>
  <w:style w:type="paragraph" w:styleId="Heading1">
    <w:name w:val="heading 1"/>
    <w:basedOn w:val="Normal"/>
    <w:next w:val="Normal"/>
    <w:link w:val="Heading1Char"/>
    <w:qFormat/>
    <w:rsid w:val="00614821"/>
    <w:pPr>
      <w:keepNext/>
      <w:outlineLvl w:val="0"/>
    </w:pPr>
    <w:rPr>
      <w:rFonts w:ascii="Arial" w:eastAsia="Times" w:hAnsi="Arial" w:cs="Arial"/>
      <w:b/>
      <w:color w:val="000000"/>
      <w:szCs w:val="20"/>
    </w:rPr>
  </w:style>
  <w:style w:type="paragraph" w:styleId="Heading2">
    <w:name w:val="heading 2"/>
    <w:basedOn w:val="Normal"/>
    <w:next w:val="Normal"/>
    <w:link w:val="Heading2Char"/>
    <w:qFormat/>
    <w:rsid w:val="00614821"/>
    <w:pPr>
      <w:keepNext/>
      <w:jc w:val="center"/>
      <w:outlineLvl w:val="1"/>
    </w:pPr>
    <w:rPr>
      <w:rFonts w:ascii="Arial" w:eastAsiaTheme="majorEastAsia" w:hAnsi="Arial" w:cs="Arial"/>
      <w:b/>
    </w:rPr>
  </w:style>
  <w:style w:type="paragraph" w:styleId="Heading3">
    <w:name w:val="heading 3"/>
    <w:basedOn w:val="Normal"/>
    <w:next w:val="Normal"/>
    <w:link w:val="Heading3Char"/>
    <w:semiHidden/>
    <w:unhideWhenUsed/>
    <w:qFormat/>
    <w:rsid w:val="00AD5C9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4821"/>
    <w:rPr>
      <w:rFonts w:ascii="Arial" w:eastAsiaTheme="majorEastAsia" w:hAnsi="Arial" w:cs="Arial"/>
      <w:b/>
      <w:sz w:val="24"/>
      <w:szCs w:val="24"/>
    </w:rPr>
  </w:style>
  <w:style w:type="character" w:customStyle="1" w:styleId="Heading3Char">
    <w:name w:val="Heading 3 Char"/>
    <w:basedOn w:val="DefaultParagraphFont"/>
    <w:link w:val="Heading3"/>
    <w:semiHidden/>
    <w:rsid w:val="00AD5C97"/>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rsid w:val="00614821"/>
    <w:rPr>
      <w:rFonts w:ascii="Arial" w:eastAsia="Times" w:hAnsi="Arial" w:cs="Arial"/>
      <w:b/>
      <w:color w:val="000000"/>
      <w:sz w:val="24"/>
    </w:rPr>
  </w:style>
  <w:style w:type="paragraph" w:styleId="Title">
    <w:name w:val="Title"/>
    <w:basedOn w:val="Normal"/>
    <w:link w:val="TitleChar"/>
    <w:qFormat/>
    <w:rsid w:val="00614821"/>
    <w:pPr>
      <w:jc w:val="center"/>
    </w:pPr>
    <w:rPr>
      <w:rFonts w:ascii="Arial" w:hAnsi="Arial" w:cs="Arial"/>
      <w:b/>
    </w:rPr>
  </w:style>
  <w:style w:type="character" w:customStyle="1" w:styleId="TitleChar">
    <w:name w:val="Title Char"/>
    <w:basedOn w:val="DefaultParagraphFont"/>
    <w:link w:val="Title"/>
    <w:rsid w:val="00614821"/>
    <w:rPr>
      <w:rFonts w:ascii="Arial" w:hAnsi="Arial" w:cs="Arial"/>
      <w:b/>
      <w:sz w:val="24"/>
      <w:szCs w:val="24"/>
    </w:rPr>
  </w:style>
  <w:style w:type="character" w:styleId="Strong">
    <w:name w:val="Strong"/>
    <w:basedOn w:val="DefaultParagraphFont"/>
    <w:qFormat/>
    <w:rsid w:val="00614821"/>
    <w:rPr>
      <w:b/>
      <w:bCs/>
    </w:rPr>
  </w:style>
  <w:style w:type="character" w:styleId="Emphasis">
    <w:name w:val="Emphasis"/>
    <w:basedOn w:val="DefaultParagraphFont"/>
    <w:uiPriority w:val="20"/>
    <w:qFormat/>
    <w:rsid w:val="00614821"/>
    <w:rPr>
      <w:i/>
      <w:iCs/>
    </w:rPr>
  </w:style>
  <w:style w:type="table" w:styleId="TableGrid">
    <w:name w:val="Table Grid"/>
    <w:basedOn w:val="TableNormal"/>
    <w:uiPriority w:val="59"/>
    <w:rsid w:val="008505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7347"/>
    <w:pPr>
      <w:tabs>
        <w:tab w:val="center" w:pos="4680"/>
        <w:tab w:val="right" w:pos="9360"/>
      </w:tabs>
    </w:pPr>
  </w:style>
  <w:style w:type="character" w:customStyle="1" w:styleId="HeaderChar">
    <w:name w:val="Header Char"/>
    <w:basedOn w:val="DefaultParagraphFont"/>
    <w:link w:val="Header"/>
    <w:uiPriority w:val="99"/>
    <w:semiHidden/>
    <w:rsid w:val="00497347"/>
    <w:rPr>
      <w:sz w:val="24"/>
      <w:szCs w:val="24"/>
    </w:rPr>
  </w:style>
  <w:style w:type="paragraph" w:styleId="Footer">
    <w:name w:val="footer"/>
    <w:basedOn w:val="Normal"/>
    <w:link w:val="FooterChar"/>
    <w:uiPriority w:val="99"/>
    <w:unhideWhenUsed/>
    <w:rsid w:val="00497347"/>
    <w:pPr>
      <w:tabs>
        <w:tab w:val="center" w:pos="4680"/>
        <w:tab w:val="right" w:pos="9360"/>
      </w:tabs>
    </w:pPr>
  </w:style>
  <w:style w:type="character" w:customStyle="1" w:styleId="FooterChar">
    <w:name w:val="Footer Char"/>
    <w:basedOn w:val="DefaultParagraphFont"/>
    <w:link w:val="Footer"/>
    <w:uiPriority w:val="99"/>
    <w:rsid w:val="00497347"/>
    <w:rPr>
      <w:sz w:val="24"/>
      <w:szCs w:val="24"/>
    </w:rPr>
  </w:style>
  <w:style w:type="paragraph" w:styleId="ListParagraph">
    <w:name w:val="List Paragraph"/>
    <w:basedOn w:val="Normal"/>
    <w:uiPriority w:val="34"/>
    <w:qFormat/>
    <w:rsid w:val="00CD1659"/>
    <w:pPr>
      <w:ind w:left="720"/>
      <w:contextualSpacing/>
    </w:pPr>
  </w:style>
  <w:style w:type="paragraph" w:styleId="BalloonText">
    <w:name w:val="Balloon Text"/>
    <w:basedOn w:val="Normal"/>
    <w:link w:val="BalloonTextChar"/>
    <w:uiPriority w:val="99"/>
    <w:semiHidden/>
    <w:unhideWhenUsed/>
    <w:rsid w:val="00C3076D"/>
    <w:rPr>
      <w:rFonts w:ascii="Tahoma" w:hAnsi="Tahoma" w:cs="Tahoma"/>
      <w:sz w:val="16"/>
      <w:szCs w:val="16"/>
    </w:rPr>
  </w:style>
  <w:style w:type="character" w:customStyle="1" w:styleId="BalloonTextChar">
    <w:name w:val="Balloon Text Char"/>
    <w:basedOn w:val="DefaultParagraphFont"/>
    <w:link w:val="BalloonText"/>
    <w:uiPriority w:val="99"/>
    <w:semiHidden/>
    <w:rsid w:val="00C3076D"/>
    <w:rPr>
      <w:rFonts w:ascii="Tahoma" w:hAnsi="Tahoma" w:cs="Tahoma"/>
      <w:sz w:val="16"/>
      <w:szCs w:val="16"/>
    </w:rPr>
  </w:style>
  <w:style w:type="character" w:customStyle="1" w:styleId="apple-converted-space">
    <w:name w:val="apple-converted-space"/>
    <w:basedOn w:val="DefaultParagraphFont"/>
    <w:rsid w:val="0064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24">
      <w:bodyDiv w:val="1"/>
      <w:marLeft w:val="0"/>
      <w:marRight w:val="0"/>
      <w:marTop w:val="0"/>
      <w:marBottom w:val="0"/>
      <w:divBdr>
        <w:top w:val="none" w:sz="0" w:space="0" w:color="auto"/>
        <w:left w:val="none" w:sz="0" w:space="0" w:color="auto"/>
        <w:bottom w:val="none" w:sz="0" w:space="0" w:color="auto"/>
        <w:right w:val="none" w:sz="0" w:space="0" w:color="auto"/>
      </w:divBdr>
    </w:div>
    <w:div w:id="30539786">
      <w:bodyDiv w:val="1"/>
      <w:marLeft w:val="0"/>
      <w:marRight w:val="0"/>
      <w:marTop w:val="0"/>
      <w:marBottom w:val="0"/>
      <w:divBdr>
        <w:top w:val="none" w:sz="0" w:space="0" w:color="auto"/>
        <w:left w:val="none" w:sz="0" w:space="0" w:color="auto"/>
        <w:bottom w:val="none" w:sz="0" w:space="0" w:color="auto"/>
        <w:right w:val="none" w:sz="0" w:space="0" w:color="auto"/>
      </w:divBdr>
    </w:div>
    <w:div w:id="117070446">
      <w:bodyDiv w:val="1"/>
      <w:marLeft w:val="0"/>
      <w:marRight w:val="0"/>
      <w:marTop w:val="0"/>
      <w:marBottom w:val="0"/>
      <w:divBdr>
        <w:top w:val="none" w:sz="0" w:space="0" w:color="auto"/>
        <w:left w:val="none" w:sz="0" w:space="0" w:color="auto"/>
        <w:bottom w:val="none" w:sz="0" w:space="0" w:color="auto"/>
        <w:right w:val="none" w:sz="0" w:space="0" w:color="auto"/>
      </w:divBdr>
    </w:div>
    <w:div w:id="206382926">
      <w:bodyDiv w:val="1"/>
      <w:marLeft w:val="0"/>
      <w:marRight w:val="0"/>
      <w:marTop w:val="0"/>
      <w:marBottom w:val="0"/>
      <w:divBdr>
        <w:top w:val="none" w:sz="0" w:space="0" w:color="auto"/>
        <w:left w:val="none" w:sz="0" w:space="0" w:color="auto"/>
        <w:bottom w:val="none" w:sz="0" w:space="0" w:color="auto"/>
        <w:right w:val="none" w:sz="0" w:space="0" w:color="auto"/>
      </w:divBdr>
    </w:div>
    <w:div w:id="211037505">
      <w:bodyDiv w:val="1"/>
      <w:marLeft w:val="0"/>
      <w:marRight w:val="0"/>
      <w:marTop w:val="0"/>
      <w:marBottom w:val="0"/>
      <w:divBdr>
        <w:top w:val="none" w:sz="0" w:space="0" w:color="auto"/>
        <w:left w:val="none" w:sz="0" w:space="0" w:color="auto"/>
        <w:bottom w:val="none" w:sz="0" w:space="0" w:color="auto"/>
        <w:right w:val="none" w:sz="0" w:space="0" w:color="auto"/>
      </w:divBdr>
    </w:div>
    <w:div w:id="467894174">
      <w:bodyDiv w:val="1"/>
      <w:marLeft w:val="0"/>
      <w:marRight w:val="0"/>
      <w:marTop w:val="0"/>
      <w:marBottom w:val="0"/>
      <w:divBdr>
        <w:top w:val="none" w:sz="0" w:space="0" w:color="auto"/>
        <w:left w:val="none" w:sz="0" w:space="0" w:color="auto"/>
        <w:bottom w:val="none" w:sz="0" w:space="0" w:color="auto"/>
        <w:right w:val="none" w:sz="0" w:space="0" w:color="auto"/>
      </w:divBdr>
    </w:div>
    <w:div w:id="473989064">
      <w:bodyDiv w:val="1"/>
      <w:marLeft w:val="0"/>
      <w:marRight w:val="0"/>
      <w:marTop w:val="0"/>
      <w:marBottom w:val="0"/>
      <w:divBdr>
        <w:top w:val="none" w:sz="0" w:space="0" w:color="auto"/>
        <w:left w:val="none" w:sz="0" w:space="0" w:color="auto"/>
        <w:bottom w:val="none" w:sz="0" w:space="0" w:color="auto"/>
        <w:right w:val="none" w:sz="0" w:space="0" w:color="auto"/>
      </w:divBdr>
    </w:div>
    <w:div w:id="694814212">
      <w:bodyDiv w:val="1"/>
      <w:marLeft w:val="0"/>
      <w:marRight w:val="0"/>
      <w:marTop w:val="0"/>
      <w:marBottom w:val="0"/>
      <w:divBdr>
        <w:top w:val="none" w:sz="0" w:space="0" w:color="auto"/>
        <w:left w:val="none" w:sz="0" w:space="0" w:color="auto"/>
        <w:bottom w:val="none" w:sz="0" w:space="0" w:color="auto"/>
        <w:right w:val="none" w:sz="0" w:space="0" w:color="auto"/>
      </w:divBdr>
    </w:div>
    <w:div w:id="833834904">
      <w:bodyDiv w:val="1"/>
      <w:marLeft w:val="0"/>
      <w:marRight w:val="0"/>
      <w:marTop w:val="0"/>
      <w:marBottom w:val="0"/>
      <w:divBdr>
        <w:top w:val="none" w:sz="0" w:space="0" w:color="auto"/>
        <w:left w:val="none" w:sz="0" w:space="0" w:color="auto"/>
        <w:bottom w:val="none" w:sz="0" w:space="0" w:color="auto"/>
        <w:right w:val="none" w:sz="0" w:space="0" w:color="auto"/>
      </w:divBdr>
    </w:div>
    <w:div w:id="1027020953">
      <w:bodyDiv w:val="1"/>
      <w:marLeft w:val="0"/>
      <w:marRight w:val="0"/>
      <w:marTop w:val="0"/>
      <w:marBottom w:val="0"/>
      <w:divBdr>
        <w:top w:val="none" w:sz="0" w:space="0" w:color="auto"/>
        <w:left w:val="none" w:sz="0" w:space="0" w:color="auto"/>
        <w:bottom w:val="none" w:sz="0" w:space="0" w:color="auto"/>
        <w:right w:val="none" w:sz="0" w:space="0" w:color="auto"/>
      </w:divBdr>
    </w:div>
    <w:div w:id="1250701735">
      <w:bodyDiv w:val="1"/>
      <w:marLeft w:val="0"/>
      <w:marRight w:val="0"/>
      <w:marTop w:val="0"/>
      <w:marBottom w:val="0"/>
      <w:divBdr>
        <w:top w:val="none" w:sz="0" w:space="0" w:color="auto"/>
        <w:left w:val="none" w:sz="0" w:space="0" w:color="auto"/>
        <w:bottom w:val="none" w:sz="0" w:space="0" w:color="auto"/>
        <w:right w:val="none" w:sz="0" w:space="0" w:color="auto"/>
      </w:divBdr>
    </w:div>
    <w:div w:id="1330446488">
      <w:bodyDiv w:val="1"/>
      <w:marLeft w:val="0"/>
      <w:marRight w:val="0"/>
      <w:marTop w:val="0"/>
      <w:marBottom w:val="0"/>
      <w:divBdr>
        <w:top w:val="none" w:sz="0" w:space="0" w:color="auto"/>
        <w:left w:val="none" w:sz="0" w:space="0" w:color="auto"/>
        <w:bottom w:val="none" w:sz="0" w:space="0" w:color="auto"/>
        <w:right w:val="none" w:sz="0" w:space="0" w:color="auto"/>
      </w:divBdr>
    </w:div>
    <w:div w:id="1558316537">
      <w:bodyDiv w:val="1"/>
      <w:marLeft w:val="0"/>
      <w:marRight w:val="0"/>
      <w:marTop w:val="0"/>
      <w:marBottom w:val="0"/>
      <w:divBdr>
        <w:top w:val="none" w:sz="0" w:space="0" w:color="auto"/>
        <w:left w:val="none" w:sz="0" w:space="0" w:color="auto"/>
        <w:bottom w:val="none" w:sz="0" w:space="0" w:color="auto"/>
        <w:right w:val="none" w:sz="0" w:space="0" w:color="auto"/>
      </w:divBdr>
    </w:div>
    <w:div w:id="1652371024">
      <w:bodyDiv w:val="1"/>
      <w:marLeft w:val="0"/>
      <w:marRight w:val="0"/>
      <w:marTop w:val="0"/>
      <w:marBottom w:val="0"/>
      <w:divBdr>
        <w:top w:val="none" w:sz="0" w:space="0" w:color="auto"/>
        <w:left w:val="none" w:sz="0" w:space="0" w:color="auto"/>
        <w:bottom w:val="none" w:sz="0" w:space="0" w:color="auto"/>
        <w:right w:val="none" w:sz="0" w:space="0" w:color="auto"/>
      </w:divBdr>
    </w:div>
    <w:div w:id="1661419138">
      <w:bodyDiv w:val="1"/>
      <w:marLeft w:val="0"/>
      <w:marRight w:val="0"/>
      <w:marTop w:val="0"/>
      <w:marBottom w:val="0"/>
      <w:divBdr>
        <w:top w:val="none" w:sz="0" w:space="0" w:color="auto"/>
        <w:left w:val="none" w:sz="0" w:space="0" w:color="auto"/>
        <w:bottom w:val="none" w:sz="0" w:space="0" w:color="auto"/>
        <w:right w:val="none" w:sz="0" w:space="0" w:color="auto"/>
      </w:divBdr>
    </w:div>
    <w:div w:id="1744988898">
      <w:bodyDiv w:val="1"/>
      <w:marLeft w:val="0"/>
      <w:marRight w:val="0"/>
      <w:marTop w:val="0"/>
      <w:marBottom w:val="0"/>
      <w:divBdr>
        <w:top w:val="none" w:sz="0" w:space="0" w:color="auto"/>
        <w:left w:val="none" w:sz="0" w:space="0" w:color="auto"/>
        <w:bottom w:val="none" w:sz="0" w:space="0" w:color="auto"/>
        <w:right w:val="none" w:sz="0" w:space="0" w:color="auto"/>
      </w:divBdr>
    </w:div>
    <w:div w:id="1822115068">
      <w:bodyDiv w:val="1"/>
      <w:marLeft w:val="0"/>
      <w:marRight w:val="0"/>
      <w:marTop w:val="0"/>
      <w:marBottom w:val="0"/>
      <w:divBdr>
        <w:top w:val="none" w:sz="0" w:space="0" w:color="auto"/>
        <w:left w:val="none" w:sz="0" w:space="0" w:color="auto"/>
        <w:bottom w:val="none" w:sz="0" w:space="0" w:color="auto"/>
        <w:right w:val="none" w:sz="0" w:space="0" w:color="auto"/>
      </w:divBdr>
    </w:div>
    <w:div w:id="1864320232">
      <w:bodyDiv w:val="1"/>
      <w:marLeft w:val="0"/>
      <w:marRight w:val="0"/>
      <w:marTop w:val="0"/>
      <w:marBottom w:val="0"/>
      <w:divBdr>
        <w:top w:val="none" w:sz="0" w:space="0" w:color="auto"/>
        <w:left w:val="none" w:sz="0" w:space="0" w:color="auto"/>
        <w:bottom w:val="none" w:sz="0" w:space="0" w:color="auto"/>
        <w:right w:val="none" w:sz="0" w:space="0" w:color="auto"/>
      </w:divBdr>
    </w:div>
    <w:div w:id="1903102155">
      <w:bodyDiv w:val="1"/>
      <w:marLeft w:val="0"/>
      <w:marRight w:val="0"/>
      <w:marTop w:val="0"/>
      <w:marBottom w:val="0"/>
      <w:divBdr>
        <w:top w:val="none" w:sz="0" w:space="0" w:color="auto"/>
        <w:left w:val="none" w:sz="0" w:space="0" w:color="auto"/>
        <w:bottom w:val="none" w:sz="0" w:space="0" w:color="auto"/>
        <w:right w:val="none" w:sz="0" w:space="0" w:color="auto"/>
      </w:divBdr>
    </w:div>
    <w:div w:id="1972050214">
      <w:bodyDiv w:val="1"/>
      <w:marLeft w:val="0"/>
      <w:marRight w:val="0"/>
      <w:marTop w:val="0"/>
      <w:marBottom w:val="0"/>
      <w:divBdr>
        <w:top w:val="none" w:sz="0" w:space="0" w:color="auto"/>
        <w:left w:val="none" w:sz="0" w:space="0" w:color="auto"/>
        <w:bottom w:val="none" w:sz="0" w:space="0" w:color="auto"/>
        <w:right w:val="none" w:sz="0" w:space="0" w:color="auto"/>
      </w:divBdr>
    </w:div>
    <w:div w:id="2042197674">
      <w:bodyDiv w:val="1"/>
      <w:marLeft w:val="0"/>
      <w:marRight w:val="0"/>
      <w:marTop w:val="0"/>
      <w:marBottom w:val="0"/>
      <w:divBdr>
        <w:top w:val="none" w:sz="0" w:space="0" w:color="auto"/>
        <w:left w:val="none" w:sz="0" w:space="0" w:color="auto"/>
        <w:bottom w:val="none" w:sz="0" w:space="0" w:color="auto"/>
        <w:right w:val="none" w:sz="0" w:space="0" w:color="auto"/>
      </w:divBdr>
    </w:div>
    <w:div w:id="208503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58AC-F3C0-4644-8B7B-E9E476A1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dirksend</dc:creator>
  <cp:lastModifiedBy>Debra Dirksen</cp:lastModifiedBy>
  <cp:revision>4</cp:revision>
  <cp:lastPrinted>2011-09-21T18:15:00Z</cp:lastPrinted>
  <dcterms:created xsi:type="dcterms:W3CDTF">2013-09-30T18:48:00Z</dcterms:created>
  <dcterms:modified xsi:type="dcterms:W3CDTF">2013-09-30T21:58:00Z</dcterms:modified>
</cp:coreProperties>
</file>